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FFC618D" w:rsidR="00204042" w:rsidRPr="00EA6E35" w:rsidRDefault="00392E71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92E7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Research Journal of Gastroenterology and Hepatology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C53C04C" w:rsidR="00204042" w:rsidRPr="00EA6E35" w:rsidRDefault="009539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Ms_IRJGH_160297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644858B" w:rsidR="00204042" w:rsidRPr="00EA6E35" w:rsidRDefault="009539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5396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Pyoderma Gangrenosum as the Initial Presenting Manifestation of Ulcerative Colitis: A Case Report and Literature Review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3F563E5D" w:rsidR="00204042" w:rsidRPr="00EA6E35" w:rsidRDefault="00FB1920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47BF59E" w:rsidR="00204042" w:rsidRPr="00EA6E35" w:rsidRDefault="00FB1920" w:rsidP="00FB1920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This manuscript contributes to the scientific community by emphasizing pyoderma gangrenosum as a potential early extraintestinal </w:t>
            </w:r>
            <w:r>
              <w:t>appearance</w:t>
            </w:r>
            <w:r>
              <w:t xml:space="preserve"> of ulcerative colitis, even in the absence of gastrointestinal symptoms, thereby highlighting the</w:t>
            </w:r>
            <w:r>
              <w:t xml:space="preserve"> </w:t>
            </w:r>
            <w:r>
              <w:t xml:space="preserve">importance of early </w:t>
            </w:r>
            <w:r>
              <w:t>diagnosis</w:t>
            </w:r>
            <w:r>
              <w:t xml:space="preserve"> and systematic screening for </w:t>
            </w:r>
            <w:r>
              <w:t>primary</w:t>
            </w:r>
            <w:r>
              <w:t xml:space="preserve"> inflammatory bowel disease to improve diagnostic accuracy, therapeutic management, and patient outcomes.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28A6061" w:rsidR="00204042" w:rsidRPr="00EA6E35" w:rsidRDefault="00FB192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1A022A2" w:rsidR="00204042" w:rsidRPr="00EA6E35" w:rsidRDefault="00FB192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75D7FEF" w:rsidR="00204042" w:rsidRPr="00EA6E35" w:rsidRDefault="00FB192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901E0EC" w:rsidR="00204042" w:rsidRPr="00EA6E35" w:rsidRDefault="00FB192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81E8332" w:rsidR="00204042" w:rsidRPr="00EA6E35" w:rsidRDefault="00FB192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59BD740" w:rsidR="00204042" w:rsidRPr="00EA6E35" w:rsidRDefault="00FB192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69D9408" w:rsidR="00204042" w:rsidRPr="00EA6E35" w:rsidRDefault="00FB192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644D251" w:rsidR="00204042" w:rsidRPr="00EA6E35" w:rsidRDefault="00FB192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9455E58" w:rsidR="00204042" w:rsidRPr="00EA6E35" w:rsidRDefault="00FB192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541258A" w:rsidR="00204042" w:rsidRPr="00EA6E35" w:rsidRDefault="00FB192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F4A1B98" w:rsidR="00204042" w:rsidRPr="00EA6E35" w:rsidRDefault="00FB192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9113E62" w:rsidR="00204042" w:rsidRPr="00EA6E35" w:rsidRDefault="00FB192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592F6DE" w:rsidR="00204042" w:rsidRPr="00EA6E35" w:rsidRDefault="00FB192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2155E24" w:rsidR="00204042" w:rsidRPr="00EA6E35" w:rsidRDefault="00FB192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8C96D75" w:rsidR="00204042" w:rsidRPr="00EA6E35" w:rsidRDefault="00FB192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2A08361" w:rsidR="00204042" w:rsidRPr="00EA6E35" w:rsidRDefault="00FB192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lastRenderedPageBreak/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E1DB501" w:rsidR="00204042" w:rsidRPr="00EA6E35" w:rsidRDefault="00FB192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8B1D1A6" w:rsidR="00204042" w:rsidRPr="00EA6E35" w:rsidRDefault="00FB192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A8E702F" w:rsidR="00204042" w:rsidRPr="00EA6E35" w:rsidRDefault="00FB192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682D54C" w:rsidR="00204042" w:rsidRPr="00EA6E35" w:rsidRDefault="00FB192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343D7CF5" w:rsidR="00204042" w:rsidRPr="00EA6E35" w:rsidRDefault="00FB1920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9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2130BF2" w14:textId="77777777" w:rsidR="00FB1920" w:rsidRDefault="00FB192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pPr w:leftFromText="180" w:rightFromText="180" w:vertAnchor="page" w:horzAnchor="margin" w:tblpY="15211"/>
        <w:tblOverlap w:val="never"/>
        <w:tblW w:w="13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0"/>
        <w:gridCol w:w="8862"/>
      </w:tblGrid>
      <w:tr w:rsidR="00FB1920" w:rsidRPr="00900E9B" w14:paraId="67AAFB28" w14:textId="77777777" w:rsidTr="00FB1920">
        <w:trPr>
          <w:trHeight w:val="20"/>
        </w:trPr>
        <w:tc>
          <w:tcPr>
            <w:tcW w:w="5000" w:type="dxa"/>
          </w:tcPr>
          <w:p w14:paraId="5CFDE6C8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8862" w:type="dxa"/>
          </w:tcPr>
          <w:p w14:paraId="138B7242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Muhammad Raza</w:t>
            </w:r>
          </w:p>
        </w:tc>
      </w:tr>
      <w:tr w:rsidR="00FB1920" w:rsidRPr="00900E9B" w14:paraId="033891D6" w14:textId="77777777" w:rsidTr="00FB1920">
        <w:trPr>
          <w:trHeight w:val="20"/>
        </w:trPr>
        <w:tc>
          <w:tcPr>
            <w:tcW w:w="5000" w:type="dxa"/>
          </w:tcPr>
          <w:p w14:paraId="25721BAE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8862" w:type="dxa"/>
          </w:tcPr>
          <w:p w14:paraId="259C9623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IT Bio Health and convergence</w:t>
            </w:r>
          </w:p>
        </w:tc>
      </w:tr>
      <w:tr w:rsidR="00FB1920" w:rsidRPr="00900E9B" w14:paraId="0B29769B" w14:textId="77777777" w:rsidTr="00FB1920">
        <w:trPr>
          <w:trHeight w:val="20"/>
        </w:trPr>
        <w:tc>
          <w:tcPr>
            <w:tcW w:w="5000" w:type="dxa"/>
          </w:tcPr>
          <w:p w14:paraId="2C3F7F68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8862" w:type="dxa"/>
          </w:tcPr>
          <w:p w14:paraId="1B078942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Korea National University of Transportation KNUT</w:t>
            </w:r>
          </w:p>
        </w:tc>
      </w:tr>
      <w:tr w:rsidR="00FB1920" w:rsidRPr="00900E9B" w14:paraId="00DC00A3" w14:textId="77777777" w:rsidTr="00FB1920">
        <w:trPr>
          <w:trHeight w:val="20"/>
        </w:trPr>
        <w:tc>
          <w:tcPr>
            <w:tcW w:w="5000" w:type="dxa"/>
          </w:tcPr>
          <w:p w14:paraId="50B7D2AD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8862" w:type="dxa"/>
          </w:tcPr>
          <w:p w14:paraId="371A23CB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South Korea</w:t>
            </w:r>
          </w:p>
        </w:tc>
      </w:tr>
      <w:tr w:rsidR="00FB1920" w:rsidRPr="00900E9B" w14:paraId="218950FC" w14:textId="77777777" w:rsidTr="00FB1920">
        <w:trPr>
          <w:trHeight w:val="20"/>
        </w:trPr>
        <w:tc>
          <w:tcPr>
            <w:tcW w:w="5000" w:type="dxa"/>
          </w:tcPr>
          <w:p w14:paraId="1311112F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8862" w:type="dxa"/>
          </w:tcPr>
          <w:p w14:paraId="10CCF2BF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PhD scholar</w:t>
            </w:r>
          </w:p>
        </w:tc>
      </w:tr>
      <w:tr w:rsidR="00FB1920" w:rsidRPr="00900E9B" w14:paraId="7119325B" w14:textId="77777777" w:rsidTr="00FB1920">
        <w:trPr>
          <w:trHeight w:val="20"/>
        </w:trPr>
        <w:tc>
          <w:tcPr>
            <w:tcW w:w="5000" w:type="dxa"/>
          </w:tcPr>
          <w:p w14:paraId="2BF4893C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8862" w:type="dxa"/>
          </w:tcPr>
          <w:p w14:paraId="5F418F09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Muhammadraza7863@gmail.com</w:t>
            </w:r>
          </w:p>
        </w:tc>
      </w:tr>
      <w:tr w:rsidR="00FB1920" w:rsidRPr="00900E9B" w14:paraId="7CE54851" w14:textId="77777777" w:rsidTr="00FB1920">
        <w:trPr>
          <w:trHeight w:val="20"/>
        </w:trPr>
        <w:tc>
          <w:tcPr>
            <w:tcW w:w="5000" w:type="dxa"/>
          </w:tcPr>
          <w:p w14:paraId="6EADCCBC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8862" w:type="dxa"/>
          </w:tcPr>
          <w:p w14:paraId="1C9435EB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00923234889283</w:t>
            </w:r>
          </w:p>
        </w:tc>
      </w:tr>
      <w:tr w:rsidR="00FB1920" w:rsidRPr="00900E9B" w14:paraId="06106BA3" w14:textId="77777777" w:rsidTr="00FB1920">
        <w:trPr>
          <w:trHeight w:val="20"/>
        </w:trPr>
        <w:tc>
          <w:tcPr>
            <w:tcW w:w="5000" w:type="dxa"/>
          </w:tcPr>
          <w:p w14:paraId="0314445D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8862" w:type="dxa"/>
          </w:tcPr>
          <w:p w14:paraId="3B8F5DDB" w14:textId="77777777" w:rsidR="00FB1920" w:rsidRPr="00900E9B" w:rsidRDefault="00FB1920" w:rsidP="00FB192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Biochemistry Molecular biology and Microbiology</w:t>
            </w:r>
          </w:p>
        </w:tc>
      </w:tr>
    </w:tbl>
    <w:p w14:paraId="45BEEAB5" w14:textId="77777777" w:rsidR="00FB1920" w:rsidRDefault="00FB192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2C84D95" w14:textId="77777777" w:rsidR="00FB1920" w:rsidRPr="00FB1920" w:rsidRDefault="00FB1920">
      <w:pPr>
        <w:rPr>
          <w:rFonts w:eastAsia="Arial Unicode MS"/>
          <w:b/>
          <w:bCs/>
          <w:sz w:val="20"/>
          <w:szCs w:val="20"/>
          <w:highlight w:val="yellow"/>
          <w:u w:val="single"/>
        </w:rPr>
      </w:pPr>
    </w:p>
    <w:p w14:paraId="61211CA5" w14:textId="77777777" w:rsidR="00FB1920" w:rsidRDefault="00FB192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82B00D7" w14:textId="77777777" w:rsidR="00FB1920" w:rsidRDefault="00FB192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40D0041" w14:textId="77777777" w:rsidR="00FB1920" w:rsidRDefault="00FB192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35CB6BF3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6F32" w14:textId="77777777" w:rsidR="00ED6623" w:rsidRDefault="00ED6623">
      <w:r>
        <w:separator/>
      </w:r>
    </w:p>
  </w:endnote>
  <w:endnote w:type="continuationSeparator" w:id="0">
    <w:p w14:paraId="45D632F8" w14:textId="77777777" w:rsidR="00ED6623" w:rsidRDefault="00ED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323C" w14:textId="77777777" w:rsidR="00ED6623" w:rsidRDefault="00ED6623">
      <w:r>
        <w:separator/>
      </w:r>
    </w:p>
  </w:footnote>
  <w:footnote w:type="continuationSeparator" w:id="0">
    <w:p w14:paraId="12914E20" w14:textId="77777777" w:rsidR="00ED6623" w:rsidRDefault="00ED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9203028">
    <w:abstractNumId w:val="4"/>
  </w:num>
  <w:num w:numId="2" w16cid:durableId="2040932480">
    <w:abstractNumId w:val="8"/>
  </w:num>
  <w:num w:numId="3" w16cid:durableId="2063475894">
    <w:abstractNumId w:val="7"/>
  </w:num>
  <w:num w:numId="4" w16cid:durableId="1911840480">
    <w:abstractNumId w:val="9"/>
  </w:num>
  <w:num w:numId="5" w16cid:durableId="1276601277">
    <w:abstractNumId w:val="6"/>
  </w:num>
  <w:num w:numId="6" w16cid:durableId="1212420699">
    <w:abstractNumId w:val="0"/>
  </w:num>
  <w:num w:numId="7" w16cid:durableId="1713992993">
    <w:abstractNumId w:val="3"/>
  </w:num>
  <w:num w:numId="8" w16cid:durableId="901989208">
    <w:abstractNumId w:val="11"/>
  </w:num>
  <w:num w:numId="9" w16cid:durableId="1576936681">
    <w:abstractNumId w:val="10"/>
  </w:num>
  <w:num w:numId="10" w16cid:durableId="49770029">
    <w:abstractNumId w:val="2"/>
  </w:num>
  <w:num w:numId="11" w16cid:durableId="91242901">
    <w:abstractNumId w:val="1"/>
  </w:num>
  <w:num w:numId="12" w16cid:durableId="238102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C66D6"/>
    <w:rsid w:val="00392E71"/>
    <w:rsid w:val="004D71FC"/>
    <w:rsid w:val="005C677A"/>
    <w:rsid w:val="006534F5"/>
    <w:rsid w:val="0073331B"/>
    <w:rsid w:val="007A699C"/>
    <w:rsid w:val="008D2987"/>
    <w:rsid w:val="00924F27"/>
    <w:rsid w:val="00953961"/>
    <w:rsid w:val="009A3A95"/>
    <w:rsid w:val="00A7113E"/>
    <w:rsid w:val="00AA476E"/>
    <w:rsid w:val="00AF3F59"/>
    <w:rsid w:val="00C255C0"/>
    <w:rsid w:val="00C40360"/>
    <w:rsid w:val="00D51B4B"/>
    <w:rsid w:val="00DF4831"/>
    <w:rsid w:val="00E13F66"/>
    <w:rsid w:val="00E24527"/>
    <w:rsid w:val="00E46CBC"/>
    <w:rsid w:val="00EA6E35"/>
    <w:rsid w:val="00ED6623"/>
    <w:rsid w:val="00EE3E18"/>
    <w:rsid w:val="00F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rjgh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Muhammad Raza</cp:lastModifiedBy>
  <cp:revision>34</cp:revision>
  <dcterms:created xsi:type="dcterms:W3CDTF">2026-03-24T06:15:00Z</dcterms:created>
  <dcterms:modified xsi:type="dcterms:W3CDTF">2026-06-04T01:32:00Z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