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F2414" w14:textId="201F3E9D" w:rsidR="00F129FC" w:rsidRPr="0051358B" w:rsidRDefault="00000000">
      <w:pPr>
        <w:pStyle w:val="Title"/>
        <w:rPr>
          <w:rFonts w:ascii="Times New Roman" w:eastAsia="Arial MT" w:hAnsi="Times New Roman" w:cs="Times New Roman"/>
          <w:sz w:val="22"/>
          <w:szCs w:val="22"/>
          <w:lang w:bidi="ar"/>
        </w:rPr>
      </w:pPr>
      <w:r w:rsidRPr="0051358B">
        <w:rPr>
          <w:rFonts w:ascii="Times New Roman" w:eastAsia="Arial MT" w:hAnsi="Times New Roman" w:cs="Times New Roman"/>
          <w:sz w:val="22"/>
          <w:szCs w:val="22"/>
          <w:lang w:val="en-GB" w:bidi="ar"/>
        </w:rPr>
        <w:t>T</w:t>
      </w:r>
      <w:r w:rsidRPr="0051358B">
        <w:rPr>
          <w:rFonts w:ascii="Times New Roman" w:eastAsia="Arial MT" w:hAnsi="Times New Roman" w:cs="Times New Roman"/>
          <w:sz w:val="22"/>
          <w:szCs w:val="22"/>
          <w:lang w:bidi="ar"/>
        </w:rPr>
        <w:t xml:space="preserve">O, </w:t>
      </w:r>
      <w:r w:rsidR="0051358B" w:rsidRPr="0051358B">
        <w:rPr>
          <w:rFonts w:ascii="Times New Roman" w:eastAsia="Arial MT" w:hAnsi="Times New Roman" w:cs="Times New Roman"/>
          <w:sz w:val="22"/>
          <w:szCs w:val="22"/>
          <w:lang w:bidi="ar"/>
        </w:rPr>
        <w:t>Review Manuscript for Journal of Advances in Biology &amp; Biotechnology</w:t>
      </w:r>
    </w:p>
    <w:p w14:paraId="402804C8" w14:textId="77777777" w:rsidR="00F129FC" w:rsidRPr="0051358B" w:rsidRDefault="00F129FC">
      <w:pPr>
        <w:pStyle w:val="Title"/>
        <w:rPr>
          <w:rFonts w:ascii="Times New Roman" w:eastAsia="Arial MT" w:hAnsi="Times New Roman" w:cs="Times New Roman"/>
          <w:sz w:val="22"/>
          <w:szCs w:val="22"/>
          <w:lang w:bidi="ar"/>
        </w:rPr>
      </w:pPr>
    </w:p>
    <w:p w14:paraId="5A4C4D9D" w14:textId="77777777" w:rsidR="00F129FC" w:rsidRPr="0051358B" w:rsidRDefault="00000000" w:rsidP="0051358B">
      <w:pPr>
        <w:pStyle w:val="Title"/>
        <w:jc w:val="both"/>
        <w:rPr>
          <w:rFonts w:ascii="Times New Roman" w:eastAsia="Arial MT" w:hAnsi="Times New Roman" w:cs="Times New Roman"/>
          <w:sz w:val="22"/>
          <w:szCs w:val="22"/>
          <w:lang w:bidi="ar"/>
        </w:rPr>
      </w:pPr>
      <w:r w:rsidRPr="0051358B">
        <w:rPr>
          <w:rFonts w:ascii="Times New Roman" w:eastAsia="Arial MT" w:hAnsi="Times New Roman" w:cs="Times New Roman"/>
          <w:sz w:val="22"/>
          <w:szCs w:val="22"/>
          <w:lang w:bidi="ar"/>
        </w:rPr>
        <w:t>Firstly, I thank you to you and your team to consider me in the part of Review Manuscript for Asian Journal of Microbiology and Biotechnology.</w:t>
      </w:r>
    </w:p>
    <w:p w14:paraId="3C4A5B86" w14:textId="77777777" w:rsidR="00F129FC" w:rsidRPr="0051358B" w:rsidRDefault="00F129FC">
      <w:pPr>
        <w:pStyle w:val="Title"/>
        <w:rPr>
          <w:rFonts w:ascii="Times New Roman" w:eastAsia="Arial MT" w:hAnsi="Times New Roman" w:cs="Times New Roman"/>
          <w:sz w:val="22"/>
          <w:szCs w:val="22"/>
          <w:lang w:bidi="ar"/>
        </w:rPr>
      </w:pPr>
    </w:p>
    <w:p w14:paraId="0BA5F535" w14:textId="77777777" w:rsidR="00F129FC" w:rsidRPr="0051358B" w:rsidRDefault="00000000" w:rsidP="0051358B">
      <w:pPr>
        <w:pStyle w:val="Title"/>
        <w:jc w:val="left"/>
        <w:rPr>
          <w:rFonts w:ascii="Times New Roman" w:eastAsia="Arial MT" w:hAnsi="Times New Roman" w:cs="Times New Roman"/>
          <w:sz w:val="22"/>
          <w:szCs w:val="22"/>
          <w:lang w:bidi="ar"/>
        </w:rPr>
      </w:pPr>
      <w:r w:rsidRPr="0051358B">
        <w:rPr>
          <w:rFonts w:ascii="Times New Roman" w:eastAsia="Arial MT" w:hAnsi="Times New Roman" w:cs="Times New Roman"/>
          <w:sz w:val="22"/>
          <w:szCs w:val="22"/>
          <w:lang w:bidi="ar"/>
        </w:rPr>
        <w:t>I write my suggestion in below</w:t>
      </w:r>
    </w:p>
    <w:p w14:paraId="78BC9757" w14:textId="77777777" w:rsidR="00F129FC" w:rsidRDefault="00F129FC">
      <w:pPr>
        <w:pStyle w:val="Title"/>
        <w:rPr>
          <w:rFonts w:ascii="Arial MT" w:eastAsia="Arial MT" w:hAnsi="Arial MT" w:cs="Arial MT"/>
          <w:sz w:val="22"/>
          <w:szCs w:val="22"/>
          <w:lang w:bidi="ar"/>
        </w:rPr>
      </w:pPr>
    </w:p>
    <w:p w14:paraId="7606E16F" w14:textId="77777777" w:rsidR="00F129FC" w:rsidRDefault="00000000" w:rsidP="0051358B">
      <w:pPr>
        <w:pStyle w:val="Title"/>
        <w:jc w:val="both"/>
        <w:rPr>
          <w:rFonts w:ascii="Times New Roman" w:eastAsia="Arial MT" w:hAnsi="Times New Roman" w:cs="Times New Roman"/>
          <w:sz w:val="22"/>
          <w:szCs w:val="22"/>
          <w:lang w:bidi="ar"/>
        </w:rPr>
      </w:pPr>
      <w:r w:rsidRPr="0051358B">
        <w:rPr>
          <w:rFonts w:ascii="Times New Roman" w:eastAsia="Arial MT" w:hAnsi="Times New Roman" w:cs="Times New Roman"/>
          <w:sz w:val="22"/>
          <w:szCs w:val="22"/>
          <w:lang w:bidi="ar"/>
        </w:rPr>
        <w:t>This paper written by you is well written, it had knowledge things in it. I hope it is a grateful help to the nation, but there is a lack of reference,  Could you provide an appropriate response with a reference ?</w:t>
      </w:r>
    </w:p>
    <w:p w14:paraId="5ADCC2F6" w14:textId="77777777" w:rsidR="0051358B" w:rsidRPr="0051358B" w:rsidRDefault="0051358B" w:rsidP="0051358B">
      <w:pPr>
        <w:pStyle w:val="Title"/>
        <w:jc w:val="both"/>
        <w:rPr>
          <w:rFonts w:ascii="Times New Roman" w:eastAsia="Arial MT" w:hAnsi="Times New Roman" w:cs="Times New Roman"/>
          <w:sz w:val="22"/>
          <w:szCs w:val="22"/>
          <w:lang w:bidi="ar"/>
        </w:rPr>
      </w:pPr>
    </w:p>
    <w:p w14:paraId="010350D8" w14:textId="0517AC2A" w:rsidR="00F129FC" w:rsidRPr="0051358B" w:rsidRDefault="00000000" w:rsidP="0051358B">
      <w:pPr>
        <w:pStyle w:val="Title"/>
        <w:numPr>
          <w:ilvl w:val="0"/>
          <w:numId w:val="1"/>
        </w:numPr>
        <w:jc w:val="both"/>
        <w:rPr>
          <w:rFonts w:ascii="Times New Roman" w:eastAsia="Arial MT" w:hAnsi="Times New Roman" w:cs="Times New Roman"/>
          <w:spacing w:val="-2"/>
          <w:sz w:val="22"/>
          <w:szCs w:val="22"/>
          <w:lang w:val="en-GB" w:bidi="ar"/>
        </w:rPr>
      </w:pPr>
      <w:proofErr w:type="spellStart"/>
      <w:r w:rsidRPr="0051358B">
        <w:rPr>
          <w:rFonts w:ascii="Times New Roman" w:eastAsia="Arial MT" w:hAnsi="Times New Roman" w:cs="Times New Roman"/>
          <w:sz w:val="22"/>
          <w:szCs w:val="22"/>
          <w:lang w:bidi="ar"/>
        </w:rPr>
        <w:t>Dimri</w:t>
      </w:r>
      <w:proofErr w:type="spellEnd"/>
      <w:r w:rsidRPr="0051358B">
        <w:rPr>
          <w:rFonts w:ascii="Times New Roman" w:eastAsia="Arial MT" w:hAnsi="Times New Roman" w:cs="Times New Roman"/>
          <w:sz w:val="22"/>
          <w:szCs w:val="22"/>
          <w:lang w:bidi="ar"/>
        </w:rPr>
        <w:t xml:space="preserve"> </w:t>
      </w:r>
      <w:r w:rsidRPr="0051358B">
        <w:rPr>
          <w:rFonts w:ascii="Times New Roman" w:eastAsia="Arial MT" w:hAnsi="Times New Roman" w:cs="Times New Roman"/>
          <w:i/>
          <w:sz w:val="22"/>
          <w:szCs w:val="22"/>
          <w:lang w:bidi="ar"/>
        </w:rPr>
        <w:t xml:space="preserve">et al., </w:t>
      </w:r>
      <w:r w:rsidRPr="0051358B">
        <w:rPr>
          <w:rFonts w:ascii="Times New Roman" w:eastAsia="Arial MT" w:hAnsi="Times New Roman" w:cs="Times New Roman"/>
          <w:sz w:val="22"/>
          <w:szCs w:val="22"/>
          <w:lang w:bidi="ar"/>
        </w:rPr>
        <w:t>(2000)</w:t>
      </w:r>
      <w:r w:rsidRPr="0051358B">
        <w:rPr>
          <w:rFonts w:ascii="Times New Roman" w:eastAsia="Arial MT" w:hAnsi="Times New Roman" w:cs="Times New Roman"/>
          <w:sz w:val="22"/>
          <w:szCs w:val="22"/>
          <w:lang w:val="en-GB" w:bidi="ar"/>
        </w:rPr>
        <w:t xml:space="preserve"> in </w:t>
      </w:r>
      <w:proofErr w:type="spellStart"/>
      <w:r w:rsidRPr="0051358B">
        <w:rPr>
          <w:rFonts w:ascii="Times New Roman" w:eastAsia="Arial MT" w:hAnsi="Times New Roman" w:cs="Times New Roman"/>
          <w:spacing w:val="-2"/>
          <w:sz w:val="22"/>
          <w:szCs w:val="22"/>
          <w:u w:val="single"/>
          <w:lang w:bidi="ar"/>
        </w:rPr>
        <w:t>Haematological</w:t>
      </w:r>
      <w:proofErr w:type="spellEnd"/>
      <w:r w:rsidRPr="0051358B">
        <w:rPr>
          <w:rFonts w:ascii="Times New Roman" w:eastAsia="Arial MT" w:hAnsi="Times New Roman" w:cs="Times New Roman"/>
          <w:spacing w:val="11"/>
          <w:sz w:val="22"/>
          <w:szCs w:val="22"/>
          <w:u w:val="single"/>
          <w:lang w:bidi="ar"/>
        </w:rPr>
        <w:t xml:space="preserve"> </w:t>
      </w:r>
      <w:r w:rsidRPr="0051358B">
        <w:rPr>
          <w:rFonts w:ascii="Times New Roman" w:eastAsia="Arial MT" w:hAnsi="Times New Roman" w:cs="Times New Roman"/>
          <w:spacing w:val="-2"/>
          <w:sz w:val="22"/>
          <w:szCs w:val="22"/>
          <w:u w:val="single"/>
          <w:lang w:bidi="ar"/>
        </w:rPr>
        <w:t>values</w:t>
      </w:r>
      <w:r w:rsidRPr="0051358B">
        <w:rPr>
          <w:rFonts w:ascii="Times New Roman" w:eastAsia="Arial MT" w:hAnsi="Times New Roman" w:cs="Times New Roman"/>
          <w:spacing w:val="-2"/>
          <w:sz w:val="22"/>
          <w:szCs w:val="22"/>
          <w:lang w:val="en-GB" w:bidi="ar"/>
        </w:rPr>
        <w:t xml:space="preserve"> part you mention this </w:t>
      </w:r>
      <w:r w:rsidR="0051358B" w:rsidRPr="0051358B">
        <w:rPr>
          <w:rFonts w:ascii="Times New Roman" w:eastAsia="Arial MT" w:hAnsi="Times New Roman" w:cs="Times New Roman"/>
          <w:spacing w:val="-2"/>
          <w:sz w:val="22"/>
          <w:szCs w:val="22"/>
          <w:lang w:val="en-GB" w:bidi="ar"/>
        </w:rPr>
        <w:t>reference</w:t>
      </w:r>
      <w:r w:rsidRPr="0051358B">
        <w:rPr>
          <w:rFonts w:ascii="Times New Roman" w:eastAsia="Arial MT" w:hAnsi="Times New Roman" w:cs="Times New Roman"/>
          <w:spacing w:val="-2"/>
          <w:sz w:val="22"/>
          <w:szCs w:val="22"/>
          <w:lang w:val="en-GB" w:bidi="ar"/>
        </w:rPr>
        <w:t xml:space="preserve"> but no </w:t>
      </w:r>
      <w:r w:rsidR="0051358B" w:rsidRPr="0051358B">
        <w:rPr>
          <w:rFonts w:ascii="Times New Roman" w:eastAsia="Arial MT" w:hAnsi="Times New Roman" w:cs="Times New Roman"/>
          <w:spacing w:val="-2"/>
          <w:sz w:val="22"/>
          <w:szCs w:val="22"/>
          <w:lang w:val="en-GB" w:bidi="ar"/>
        </w:rPr>
        <w:t>present</w:t>
      </w:r>
      <w:r w:rsidRPr="0051358B">
        <w:rPr>
          <w:rFonts w:ascii="Times New Roman" w:eastAsia="Arial MT" w:hAnsi="Times New Roman" w:cs="Times New Roman"/>
          <w:spacing w:val="-2"/>
          <w:sz w:val="22"/>
          <w:szCs w:val="22"/>
          <w:lang w:val="en-GB" w:bidi="ar"/>
        </w:rPr>
        <w:t xml:space="preserve"> in reference</w:t>
      </w:r>
      <w:r w:rsidR="0051358B" w:rsidRPr="0051358B">
        <w:rPr>
          <w:rFonts w:ascii="Times New Roman" w:eastAsia="Arial MT" w:hAnsi="Times New Roman" w:cs="Times New Roman"/>
          <w:spacing w:val="-2"/>
          <w:sz w:val="22"/>
          <w:szCs w:val="22"/>
          <w:lang w:val="en-GB" w:bidi="ar"/>
        </w:rPr>
        <w:t>.</w:t>
      </w:r>
    </w:p>
    <w:p w14:paraId="77412922" w14:textId="49C3470C" w:rsidR="00F129FC" w:rsidRPr="0051358B" w:rsidRDefault="00000000" w:rsidP="0051358B">
      <w:pPr>
        <w:pStyle w:val="Title"/>
        <w:numPr>
          <w:ilvl w:val="0"/>
          <w:numId w:val="1"/>
        </w:numPr>
        <w:jc w:val="both"/>
        <w:rPr>
          <w:rFonts w:ascii="Times New Roman" w:eastAsia="Arial MT" w:hAnsi="Times New Roman" w:cs="Times New Roman"/>
          <w:sz w:val="22"/>
          <w:szCs w:val="22"/>
          <w:lang w:bidi="ar"/>
        </w:rPr>
      </w:pPr>
      <w:r w:rsidRPr="0051358B">
        <w:rPr>
          <w:rFonts w:ascii="Times New Roman" w:eastAsia="Arial MT" w:hAnsi="Times New Roman" w:cs="Times New Roman"/>
          <w:sz w:val="22"/>
          <w:szCs w:val="22"/>
          <w:lang w:bidi="ar"/>
        </w:rPr>
        <w:t xml:space="preserve">(Mueller </w:t>
      </w:r>
      <w:r w:rsidRPr="0051358B">
        <w:rPr>
          <w:rFonts w:ascii="Times New Roman" w:eastAsia="Arial MT" w:hAnsi="Times New Roman" w:cs="Times New Roman"/>
          <w:i/>
          <w:sz w:val="22"/>
          <w:szCs w:val="22"/>
          <w:lang w:bidi="ar"/>
        </w:rPr>
        <w:t>et al.</w:t>
      </w:r>
      <w:r w:rsidRPr="0051358B">
        <w:rPr>
          <w:rFonts w:ascii="Times New Roman" w:eastAsia="Arial MT" w:hAnsi="Times New Roman" w:cs="Times New Roman"/>
          <w:sz w:val="22"/>
          <w:szCs w:val="22"/>
          <w:lang w:bidi="ar"/>
        </w:rPr>
        <w:t>, 2011)</w:t>
      </w:r>
      <w:r w:rsidRPr="0051358B">
        <w:rPr>
          <w:rFonts w:ascii="Times New Roman" w:eastAsia="Arial MT" w:hAnsi="Times New Roman" w:cs="Times New Roman"/>
          <w:sz w:val="22"/>
          <w:szCs w:val="22"/>
          <w:lang w:val="en-GB" w:bidi="ar"/>
        </w:rPr>
        <w:t xml:space="preserve"> &amp; </w:t>
      </w:r>
      <w:r w:rsidRPr="0051358B">
        <w:rPr>
          <w:rFonts w:ascii="Times New Roman" w:eastAsia="Arial MT" w:hAnsi="Times New Roman" w:cs="Times New Roman"/>
          <w:sz w:val="22"/>
          <w:szCs w:val="22"/>
          <w:lang w:bidi="ar"/>
        </w:rPr>
        <w:t>(Mueller, 2008)</w:t>
      </w:r>
      <w:r w:rsidRPr="0051358B">
        <w:rPr>
          <w:rFonts w:ascii="Times New Roman" w:eastAsia="Arial MT" w:hAnsi="Times New Roman" w:cs="Times New Roman"/>
          <w:sz w:val="22"/>
          <w:szCs w:val="22"/>
          <w:lang w:val="en-GB" w:bidi="ar"/>
        </w:rPr>
        <w:t xml:space="preserve"> in </w:t>
      </w:r>
      <w:r w:rsidR="0051358B" w:rsidRPr="0051358B">
        <w:rPr>
          <w:rFonts w:ascii="Times New Roman" w:hAnsi="Times New Roman" w:cs="Times New Roman"/>
          <w:spacing w:val="-2"/>
          <w:sz w:val="22"/>
          <w:szCs w:val="22"/>
          <w:u w:val="single"/>
        </w:rPr>
        <w:t>introduction</w:t>
      </w:r>
      <w:r w:rsidRPr="0051358B">
        <w:rPr>
          <w:rFonts w:ascii="Times New Roman" w:hAnsi="Times New Roman" w:cs="Times New Roman"/>
          <w:spacing w:val="-2"/>
          <w:sz w:val="22"/>
          <w:szCs w:val="22"/>
          <w:lang w:val="en-GB"/>
        </w:rPr>
        <w:t xml:space="preserve"> </w:t>
      </w:r>
      <w:r w:rsidRPr="0051358B">
        <w:rPr>
          <w:rFonts w:ascii="Times New Roman" w:eastAsia="Arial MT" w:hAnsi="Times New Roman" w:cs="Times New Roman"/>
          <w:spacing w:val="-2"/>
          <w:sz w:val="22"/>
          <w:szCs w:val="22"/>
          <w:lang w:val="en-GB" w:bidi="ar"/>
        </w:rPr>
        <w:t xml:space="preserve"> part you mention this reference but no </w:t>
      </w:r>
      <w:r w:rsidR="0051358B" w:rsidRPr="0051358B">
        <w:rPr>
          <w:rFonts w:ascii="Times New Roman" w:eastAsia="Arial MT" w:hAnsi="Times New Roman" w:cs="Times New Roman"/>
          <w:spacing w:val="-2"/>
          <w:sz w:val="22"/>
          <w:szCs w:val="22"/>
          <w:lang w:val="en-GB" w:bidi="ar"/>
        </w:rPr>
        <w:t>present</w:t>
      </w:r>
      <w:r w:rsidRPr="0051358B">
        <w:rPr>
          <w:rFonts w:ascii="Times New Roman" w:eastAsia="Arial MT" w:hAnsi="Times New Roman" w:cs="Times New Roman"/>
          <w:spacing w:val="-2"/>
          <w:sz w:val="22"/>
          <w:szCs w:val="22"/>
          <w:lang w:val="en-GB" w:bidi="ar"/>
        </w:rPr>
        <w:t xml:space="preserve"> in reference </w:t>
      </w:r>
      <w:r w:rsidRPr="0051358B">
        <w:rPr>
          <w:rFonts w:ascii="Times New Roman" w:eastAsia="Arial MT" w:hAnsi="Times New Roman" w:cs="Times New Roman"/>
          <w:sz w:val="22"/>
          <w:szCs w:val="22"/>
          <w:lang w:bidi="ar"/>
        </w:rPr>
        <w:t>(Mueller, 2008).</w:t>
      </w:r>
    </w:p>
    <w:p w14:paraId="19D4062D" w14:textId="0195D25E" w:rsidR="00F129FC" w:rsidRPr="0051358B" w:rsidRDefault="00000000" w:rsidP="0051358B">
      <w:pPr>
        <w:pStyle w:val="Title"/>
        <w:numPr>
          <w:ilvl w:val="0"/>
          <w:numId w:val="1"/>
        </w:numPr>
        <w:jc w:val="both"/>
        <w:rPr>
          <w:rFonts w:ascii="Times New Roman" w:eastAsia="Arial MT" w:hAnsi="Times New Roman" w:cs="Times New Roman"/>
          <w:sz w:val="22"/>
          <w:szCs w:val="22"/>
          <w:lang w:bidi="ar"/>
        </w:rPr>
      </w:pPr>
      <w:r w:rsidRPr="0051358B">
        <w:rPr>
          <w:rFonts w:ascii="Times New Roman" w:eastAsia="Arial MT" w:hAnsi="Times New Roman" w:cs="Times New Roman"/>
          <w:sz w:val="22"/>
          <w:szCs w:val="22"/>
          <w:lang w:bidi="ar"/>
        </w:rPr>
        <w:t>Pradhan (2015)</w:t>
      </w:r>
      <w:r w:rsidRPr="0051358B">
        <w:rPr>
          <w:rFonts w:ascii="Times New Roman" w:eastAsia="Arial MT" w:hAnsi="Times New Roman" w:cs="Times New Roman"/>
          <w:sz w:val="22"/>
          <w:szCs w:val="22"/>
          <w:lang w:val="en-GB" w:bidi="ar"/>
        </w:rPr>
        <w:t xml:space="preserve"> &amp; </w:t>
      </w:r>
      <w:r w:rsidRPr="0051358B">
        <w:rPr>
          <w:rFonts w:ascii="Times New Roman" w:eastAsia="Arial MT" w:hAnsi="Times New Roman" w:cs="Times New Roman"/>
          <w:sz w:val="22"/>
          <w:szCs w:val="22"/>
          <w:lang w:bidi="ar"/>
        </w:rPr>
        <w:t>Pradhan (201</w:t>
      </w:r>
      <w:r w:rsidRPr="0051358B">
        <w:rPr>
          <w:rFonts w:ascii="Times New Roman" w:eastAsia="Arial MT" w:hAnsi="Times New Roman" w:cs="Times New Roman"/>
          <w:sz w:val="22"/>
          <w:szCs w:val="22"/>
          <w:lang w:val="en-GB" w:bidi="ar"/>
        </w:rPr>
        <w:t>2</w:t>
      </w:r>
      <w:r w:rsidRPr="0051358B">
        <w:rPr>
          <w:rFonts w:ascii="Times New Roman" w:eastAsia="Arial MT" w:hAnsi="Times New Roman" w:cs="Times New Roman"/>
          <w:sz w:val="22"/>
          <w:szCs w:val="22"/>
          <w:lang w:bidi="ar"/>
        </w:rPr>
        <w:t>)</w:t>
      </w:r>
      <w:r w:rsidRPr="0051358B">
        <w:rPr>
          <w:rFonts w:ascii="Times New Roman" w:eastAsia="Arial MT" w:hAnsi="Times New Roman" w:cs="Times New Roman"/>
          <w:sz w:val="22"/>
          <w:szCs w:val="22"/>
          <w:lang w:val="en-GB" w:bidi="ar"/>
        </w:rPr>
        <w:t xml:space="preserve"> </w:t>
      </w:r>
      <w:r w:rsidRPr="0051358B">
        <w:rPr>
          <w:rFonts w:ascii="Times New Roman" w:eastAsia="Arial MT" w:hAnsi="Times New Roman" w:cs="Times New Roman"/>
          <w:sz w:val="22"/>
          <w:szCs w:val="22"/>
          <w:u w:val="single"/>
          <w:lang w:val="en-GB" w:bidi="ar"/>
        </w:rPr>
        <w:t xml:space="preserve">in </w:t>
      </w:r>
      <w:proofErr w:type="spellStart"/>
      <w:r w:rsidRPr="0051358B">
        <w:rPr>
          <w:rFonts w:ascii="Times New Roman" w:eastAsia="Arial MT" w:hAnsi="Times New Roman" w:cs="Times New Roman"/>
          <w:spacing w:val="-2"/>
          <w:sz w:val="22"/>
          <w:szCs w:val="22"/>
          <w:u w:val="single"/>
          <w:lang w:bidi="ar"/>
        </w:rPr>
        <w:t>Haematological</w:t>
      </w:r>
      <w:proofErr w:type="spellEnd"/>
      <w:r w:rsidRPr="0051358B">
        <w:rPr>
          <w:rFonts w:ascii="Times New Roman" w:eastAsia="Arial MT" w:hAnsi="Times New Roman" w:cs="Times New Roman"/>
          <w:spacing w:val="11"/>
          <w:sz w:val="22"/>
          <w:szCs w:val="22"/>
          <w:u w:val="single"/>
          <w:lang w:bidi="ar"/>
        </w:rPr>
        <w:t xml:space="preserve"> </w:t>
      </w:r>
      <w:r w:rsidRPr="0051358B">
        <w:rPr>
          <w:rFonts w:ascii="Times New Roman" w:eastAsia="Arial MT" w:hAnsi="Times New Roman" w:cs="Times New Roman"/>
          <w:spacing w:val="-2"/>
          <w:sz w:val="22"/>
          <w:szCs w:val="22"/>
          <w:u w:val="single"/>
          <w:lang w:bidi="ar"/>
        </w:rPr>
        <w:t>values</w:t>
      </w:r>
      <w:r w:rsidRPr="0051358B">
        <w:rPr>
          <w:rFonts w:ascii="Times New Roman" w:eastAsia="Arial MT" w:hAnsi="Times New Roman" w:cs="Times New Roman"/>
          <w:sz w:val="22"/>
          <w:szCs w:val="22"/>
          <w:lang w:val="en-GB" w:bidi="ar"/>
        </w:rPr>
        <w:t xml:space="preserve"> </w:t>
      </w:r>
      <w:r w:rsidRPr="0051358B">
        <w:rPr>
          <w:rFonts w:ascii="Times New Roman" w:eastAsia="Arial MT" w:hAnsi="Times New Roman" w:cs="Times New Roman"/>
          <w:spacing w:val="-2"/>
          <w:sz w:val="22"/>
          <w:szCs w:val="22"/>
          <w:lang w:val="en-GB" w:bidi="ar"/>
        </w:rPr>
        <w:t xml:space="preserve">part you mention this reference but no </w:t>
      </w:r>
      <w:r w:rsidR="0051358B" w:rsidRPr="0051358B">
        <w:rPr>
          <w:rFonts w:ascii="Times New Roman" w:eastAsia="Arial MT" w:hAnsi="Times New Roman" w:cs="Times New Roman"/>
          <w:spacing w:val="-2"/>
          <w:sz w:val="22"/>
          <w:szCs w:val="22"/>
          <w:lang w:val="en-GB" w:bidi="ar"/>
        </w:rPr>
        <w:t>present</w:t>
      </w:r>
      <w:r w:rsidRPr="0051358B">
        <w:rPr>
          <w:rFonts w:ascii="Times New Roman" w:eastAsia="Arial MT" w:hAnsi="Times New Roman" w:cs="Times New Roman"/>
          <w:spacing w:val="-2"/>
          <w:sz w:val="22"/>
          <w:szCs w:val="22"/>
          <w:lang w:val="en-GB" w:bidi="ar"/>
        </w:rPr>
        <w:t xml:space="preserve"> in reference while only present </w:t>
      </w:r>
      <w:r w:rsidRPr="0051358B">
        <w:rPr>
          <w:rFonts w:ascii="Times New Roman" w:eastAsia="Arial MT" w:hAnsi="Times New Roman" w:cs="Times New Roman"/>
          <w:sz w:val="22"/>
          <w:szCs w:val="22"/>
          <w:lang w:bidi="ar"/>
        </w:rPr>
        <w:t>Pradhan (201</w:t>
      </w:r>
      <w:r w:rsidRPr="0051358B">
        <w:rPr>
          <w:rFonts w:ascii="Times New Roman" w:eastAsia="Arial MT" w:hAnsi="Times New Roman" w:cs="Times New Roman"/>
          <w:sz w:val="22"/>
          <w:szCs w:val="22"/>
          <w:lang w:val="en-GB" w:bidi="ar"/>
        </w:rPr>
        <w:t>2</w:t>
      </w:r>
      <w:r w:rsidRPr="0051358B">
        <w:rPr>
          <w:rFonts w:ascii="Times New Roman" w:eastAsia="Arial MT" w:hAnsi="Times New Roman" w:cs="Times New Roman"/>
          <w:sz w:val="22"/>
          <w:szCs w:val="22"/>
          <w:lang w:bidi="ar"/>
        </w:rPr>
        <w:t>)</w:t>
      </w:r>
      <w:r w:rsidR="0051358B">
        <w:rPr>
          <w:rFonts w:ascii="Times New Roman" w:eastAsia="Arial MT" w:hAnsi="Times New Roman" w:cs="Times New Roman"/>
          <w:sz w:val="22"/>
          <w:szCs w:val="22"/>
          <w:lang w:bidi="ar"/>
        </w:rPr>
        <w:t>.</w:t>
      </w:r>
    </w:p>
    <w:p w14:paraId="75FD9EEC" w14:textId="587BDF64" w:rsidR="00F129FC" w:rsidRPr="0051358B" w:rsidRDefault="00000000" w:rsidP="0051358B">
      <w:pPr>
        <w:pStyle w:val="NormalWeb"/>
        <w:numPr>
          <w:ilvl w:val="0"/>
          <w:numId w:val="1"/>
        </w:numPr>
        <w:spacing w:before="120" w:line="360" w:lineRule="auto"/>
        <w:ind w:right="355"/>
        <w:jc w:val="both"/>
        <w:rPr>
          <w:rFonts w:ascii="Times New Roman" w:hAnsi="Times New Roman" w:cs="Times New Roman"/>
          <w:sz w:val="22"/>
          <w:szCs w:val="22"/>
        </w:rPr>
      </w:pPr>
      <w:r w:rsidRPr="0051358B">
        <w:rPr>
          <w:rFonts w:ascii="Times New Roman" w:hAnsi="Times New Roman" w:cs="Times New Roman"/>
          <w:sz w:val="22"/>
          <w:szCs w:val="22"/>
          <w:lang w:val="en-GB" w:eastAsia="zh-CN" w:bidi="ar"/>
        </w:rPr>
        <w:t>You mention in reference</w:t>
      </w:r>
      <w:r w:rsidR="0051358B">
        <w:rPr>
          <w:rFonts w:ascii="Times New Roman" w:hAnsi="Times New Roman" w:cs="Times New Roman"/>
          <w:sz w:val="22"/>
          <w:szCs w:val="22"/>
          <w:lang w:val="en-GB" w:eastAsia="zh-CN" w:bidi="ar"/>
        </w:rPr>
        <w:t xml:space="preserve"> list,</w:t>
      </w:r>
      <w:r w:rsidRPr="0051358B">
        <w:rPr>
          <w:rFonts w:ascii="Times New Roman" w:hAnsi="Times New Roman" w:cs="Times New Roman"/>
          <w:sz w:val="22"/>
          <w:szCs w:val="22"/>
          <w:lang w:val="en-GB" w:eastAsia="zh-CN" w:bidi="ar"/>
        </w:rPr>
        <w:t xml:space="preserve"> but not present </w:t>
      </w:r>
      <w:r w:rsidR="0051358B">
        <w:rPr>
          <w:rFonts w:ascii="Times New Roman" w:hAnsi="Times New Roman" w:cs="Times New Roman"/>
          <w:sz w:val="22"/>
          <w:szCs w:val="22"/>
          <w:lang w:val="en-GB" w:eastAsia="zh-CN" w:bidi="ar"/>
        </w:rPr>
        <w:t xml:space="preserve">in </w:t>
      </w:r>
      <w:r w:rsidRPr="0051358B">
        <w:rPr>
          <w:rFonts w:ascii="Times New Roman" w:hAnsi="Times New Roman" w:cs="Times New Roman"/>
          <w:sz w:val="22"/>
          <w:szCs w:val="22"/>
          <w:lang w:val="en-GB" w:eastAsia="zh-CN" w:bidi="ar"/>
        </w:rPr>
        <w:t xml:space="preserve">your paper    </w:t>
      </w:r>
      <w:r w:rsidRPr="0051358B">
        <w:rPr>
          <w:rFonts w:ascii="Times New Roman" w:hAnsi="Times New Roman" w:cs="Times New Roman"/>
          <w:sz w:val="22"/>
          <w:szCs w:val="22"/>
          <w:lang w:eastAsia="zh-CN" w:bidi="ar"/>
        </w:rPr>
        <w:t xml:space="preserve">Scott, D. W., Miller, W. H. and Griffin, C. E. (2001a). Muller and </w:t>
      </w:r>
      <w:proofErr w:type="spellStart"/>
      <w:r w:rsidRPr="0051358B">
        <w:rPr>
          <w:rFonts w:ascii="Times New Roman" w:hAnsi="Times New Roman" w:cs="Times New Roman"/>
          <w:sz w:val="22"/>
          <w:szCs w:val="22"/>
          <w:lang w:eastAsia="zh-CN" w:bidi="ar"/>
        </w:rPr>
        <w:t>Kirk</w:t>
      </w:r>
      <w:r w:rsidRPr="0051358B">
        <w:rPr>
          <w:rFonts w:ascii="Times New Roman" w:eastAsia="Microsoft Sans Serif" w:hAnsi="Times New Roman" w:cs="Times New Roman"/>
          <w:sz w:val="22"/>
          <w:szCs w:val="22"/>
          <w:lang w:eastAsia="zh-CN" w:bidi="ar"/>
        </w:rPr>
        <w:t>‟</w:t>
      </w:r>
      <w:r w:rsidRPr="0051358B">
        <w:rPr>
          <w:rFonts w:ascii="Times New Roman" w:hAnsi="Times New Roman" w:cs="Times New Roman"/>
          <w:sz w:val="22"/>
          <w:szCs w:val="22"/>
          <w:lang w:eastAsia="zh-CN" w:bidi="ar"/>
        </w:rPr>
        <w:t>s</w:t>
      </w:r>
      <w:proofErr w:type="spellEnd"/>
      <w:r w:rsidRPr="0051358B">
        <w:rPr>
          <w:rFonts w:ascii="Times New Roman" w:hAnsi="Times New Roman" w:cs="Times New Roman"/>
          <w:sz w:val="22"/>
          <w:szCs w:val="22"/>
          <w:lang w:eastAsia="zh-CN" w:bidi="ar"/>
        </w:rPr>
        <w:t xml:space="preserve"> small animal dermatology 6th edition. </w:t>
      </w:r>
      <w:r w:rsidRPr="0051358B">
        <w:rPr>
          <w:rFonts w:ascii="Times New Roman" w:hAnsi="Times New Roman" w:cs="Times New Roman"/>
          <w:i/>
          <w:sz w:val="22"/>
          <w:szCs w:val="22"/>
          <w:lang w:eastAsia="zh-CN" w:bidi="ar"/>
        </w:rPr>
        <w:t>Philadelphia: WB Saunders</w:t>
      </w:r>
      <w:r w:rsidRPr="0051358B">
        <w:rPr>
          <w:rFonts w:ascii="Times New Roman" w:hAnsi="Times New Roman" w:cs="Times New Roman"/>
          <w:sz w:val="22"/>
          <w:szCs w:val="22"/>
          <w:lang w:eastAsia="zh-CN" w:bidi="ar"/>
        </w:rPr>
        <w:t>, 543-666.</w:t>
      </w:r>
    </w:p>
    <w:p w14:paraId="1DC6B4E1" w14:textId="77777777" w:rsidR="00F129FC" w:rsidRDefault="00F129FC">
      <w:pPr>
        <w:pStyle w:val="Title"/>
        <w:jc w:val="both"/>
        <w:rPr>
          <w:rFonts w:ascii="Arial MT" w:eastAsia="Arial MT" w:hAnsi="Arial MT" w:cs="Arial MT"/>
          <w:sz w:val="22"/>
          <w:szCs w:val="22"/>
          <w:lang w:val="en-GB" w:bidi="ar"/>
        </w:rPr>
      </w:pPr>
    </w:p>
    <w:p w14:paraId="6B15DA00" w14:textId="77777777" w:rsidR="00F129FC" w:rsidRDefault="00F129FC">
      <w:pPr>
        <w:pStyle w:val="Title"/>
        <w:jc w:val="both"/>
        <w:rPr>
          <w:rFonts w:ascii="Arial MT" w:eastAsia="Arial MT" w:hAnsi="Arial MT" w:cs="Arial MT"/>
          <w:spacing w:val="-2"/>
          <w:sz w:val="22"/>
          <w:szCs w:val="22"/>
          <w:lang w:val="en-GB" w:bidi="ar"/>
        </w:rPr>
      </w:pPr>
    </w:p>
    <w:p w14:paraId="40593008" w14:textId="77777777" w:rsidR="00F129FC" w:rsidRDefault="00000000">
      <w:pPr>
        <w:pStyle w:val="Title"/>
        <w:rPr>
          <w:i/>
          <w:iCs/>
          <w:u w:val="single"/>
          <w:lang w:val="en-GB"/>
        </w:rPr>
      </w:pPr>
      <w:r>
        <w:rPr>
          <w:i/>
          <w:iCs/>
          <w:u w:val="single"/>
          <w:lang w:val="en-GB"/>
        </w:rPr>
        <w:t xml:space="preserve"> </w:t>
      </w:r>
    </w:p>
    <w:p w14:paraId="38946A77" w14:textId="77777777" w:rsidR="00F129FC" w:rsidRDefault="00F129FC">
      <w:pPr>
        <w:pStyle w:val="Title"/>
        <w:rPr>
          <w:i/>
          <w:iCs/>
          <w:u w:val="single"/>
        </w:rPr>
      </w:pPr>
    </w:p>
    <w:p w14:paraId="30C51C9E" w14:textId="77777777" w:rsidR="00F129FC" w:rsidRDefault="00000000">
      <w:pPr>
        <w:pStyle w:val="Title"/>
        <w:rPr>
          <w:i/>
          <w:iCs/>
          <w:u w:val="single"/>
        </w:rPr>
      </w:pPr>
      <w:r>
        <w:rPr>
          <w:i/>
          <w:iCs/>
          <w:u w:val="single"/>
        </w:rPr>
        <w:t>Original Research Article</w:t>
      </w:r>
    </w:p>
    <w:p w14:paraId="14E79485" w14:textId="77777777" w:rsidR="00F129FC" w:rsidRDefault="00000000">
      <w:pPr>
        <w:pStyle w:val="Title"/>
      </w:pPr>
      <w:r>
        <w:t>An</w:t>
      </w:r>
      <w:r>
        <w:rPr>
          <w:spacing w:val="-5"/>
        </w:rPr>
        <w:t xml:space="preserve"> </w:t>
      </w:r>
      <w:r>
        <w:t>Update</w:t>
      </w:r>
      <w:r>
        <w:rPr>
          <w:spacing w:val="-9"/>
        </w:rPr>
        <w:t xml:space="preserve"> </w:t>
      </w:r>
      <w:r>
        <w:t>on</w:t>
      </w:r>
      <w:r>
        <w:rPr>
          <w:spacing w:val="-9"/>
        </w:rPr>
        <w:t xml:space="preserve"> </w:t>
      </w:r>
      <w:r>
        <w:t>Pathological</w:t>
      </w:r>
      <w:r>
        <w:rPr>
          <w:spacing w:val="-9"/>
        </w:rPr>
        <w:t xml:space="preserve"> </w:t>
      </w:r>
      <w:r>
        <w:t>changes</w:t>
      </w:r>
      <w:r>
        <w:rPr>
          <w:spacing w:val="-8"/>
        </w:rPr>
        <w:t xml:space="preserve"> </w:t>
      </w:r>
      <w:r>
        <w:t>in</w:t>
      </w:r>
      <w:r>
        <w:rPr>
          <w:spacing w:val="-9"/>
        </w:rPr>
        <w:t xml:space="preserve"> </w:t>
      </w:r>
      <w:r>
        <w:t>Canine</w:t>
      </w:r>
      <w:r>
        <w:rPr>
          <w:spacing w:val="-7"/>
        </w:rPr>
        <w:t xml:space="preserve"> </w:t>
      </w:r>
      <w:r>
        <w:rPr>
          <w:spacing w:val="-2"/>
        </w:rPr>
        <w:t>Demodicosis</w:t>
      </w:r>
    </w:p>
    <w:p w14:paraId="133971DC" w14:textId="77777777" w:rsidR="00F129FC" w:rsidRDefault="00F129FC">
      <w:pPr>
        <w:ind w:left="79" w:right="79"/>
        <w:jc w:val="center"/>
        <w:rPr>
          <w:rFonts w:ascii="Arial"/>
          <w:b/>
          <w:sz w:val="24"/>
        </w:rPr>
      </w:pPr>
    </w:p>
    <w:p w14:paraId="1DD1B999" w14:textId="77777777" w:rsidR="00F129FC" w:rsidRDefault="00000000">
      <w:pPr>
        <w:ind w:left="79" w:right="79"/>
        <w:jc w:val="center"/>
        <w:rPr>
          <w:rFonts w:ascii="Arial"/>
          <w:b/>
          <w:sz w:val="24"/>
        </w:rPr>
      </w:pPr>
      <w:r>
        <w:rPr>
          <w:rFonts w:ascii="Arial"/>
          <w:b/>
          <w:sz w:val="24"/>
        </w:rPr>
        <w:t xml:space="preserve"> </w:t>
      </w:r>
    </w:p>
    <w:p w14:paraId="11C9F0A9" w14:textId="77777777" w:rsidR="00F129FC" w:rsidRDefault="00F129FC">
      <w:pPr>
        <w:pStyle w:val="BodyText"/>
        <w:spacing w:before="0"/>
        <w:ind w:left="0" w:right="0"/>
        <w:jc w:val="left"/>
        <w:rPr>
          <w:rFonts w:ascii="Arial"/>
          <w:b/>
        </w:rPr>
      </w:pPr>
    </w:p>
    <w:p w14:paraId="0B224137" w14:textId="77777777" w:rsidR="00F129FC" w:rsidRDefault="00F129FC">
      <w:pPr>
        <w:pStyle w:val="BodyText"/>
        <w:spacing w:before="106"/>
        <w:ind w:left="0" w:right="0"/>
        <w:jc w:val="left"/>
        <w:rPr>
          <w:rFonts w:ascii="Arial"/>
          <w:b/>
        </w:rPr>
      </w:pPr>
    </w:p>
    <w:p w14:paraId="3C2C88D6" w14:textId="77777777" w:rsidR="00F129FC" w:rsidRDefault="00000000">
      <w:pPr>
        <w:pStyle w:val="Heading1"/>
        <w:ind w:left="562" w:right="3"/>
        <w:jc w:val="center"/>
      </w:pPr>
      <w:r>
        <w:rPr>
          <w:spacing w:val="-2"/>
        </w:rPr>
        <w:t>ABSTRACT</w:t>
      </w:r>
    </w:p>
    <w:p w14:paraId="138A59E1" w14:textId="77777777" w:rsidR="00F129FC" w:rsidRDefault="00000000">
      <w:pPr>
        <w:pStyle w:val="BodyText"/>
        <w:spacing w:before="257" w:line="360" w:lineRule="auto"/>
        <w:ind w:left="360" w:right="355" w:firstLine="561"/>
      </w:pPr>
      <w:r>
        <w:t>A total of 240 dermatitis cases studied in dogs at Veterinary Clinical Complex, College of Veterinary and Animal Science, Bikaner, Rajasthan, from the period of September 2018 to February</w:t>
      </w:r>
      <w:r>
        <w:rPr>
          <w:spacing w:val="-2"/>
        </w:rPr>
        <w:t xml:space="preserve"> </w:t>
      </w:r>
      <w:r>
        <w:t xml:space="preserve">2019. Out of these, 25 dogs were positive for demodicosis was diagnosed by examination of deep skin scrapings. In this study, 19 were affected with </w:t>
      </w:r>
      <w:proofErr w:type="spellStart"/>
      <w:r>
        <w:t>generalised</w:t>
      </w:r>
      <w:proofErr w:type="spellEnd"/>
      <w:r>
        <w:t xml:space="preserve"> demodicosis and 6 were affected with localized demodicosis. In deep skin scrapings, demodectic mites were detected.</w:t>
      </w:r>
    </w:p>
    <w:p w14:paraId="3DA6C1F0" w14:textId="77777777" w:rsidR="00F129FC" w:rsidRDefault="00000000">
      <w:pPr>
        <w:pStyle w:val="BodyText"/>
        <w:spacing w:line="360" w:lineRule="auto"/>
        <w:ind w:left="360" w:firstLine="561"/>
      </w:pPr>
      <w:proofErr w:type="spellStart"/>
      <w:r>
        <w:t>Haematological</w:t>
      </w:r>
      <w:proofErr w:type="spellEnd"/>
      <w:r>
        <w:t xml:space="preserve"> studies in canine demodicosis cases revealed anemia, </w:t>
      </w:r>
      <w:proofErr w:type="spellStart"/>
      <w:r>
        <w:t>leucocytosis</w:t>
      </w:r>
      <w:proofErr w:type="spellEnd"/>
      <w:r>
        <w:t xml:space="preserve">, neutrophilia, lymphopenia and eosinophilia. Serum biochemistry in canine demodicosis cases revealed hypoglycemia, hypoproteinemia, hypoalbuminemia, </w:t>
      </w:r>
      <w:r>
        <w:lastRenderedPageBreak/>
        <w:t>hyperglobulinemia, increased level of SGPT and SGOT. Mineral study in the canine demodicosis revealed decreased level of serum zinc, copper and iron.</w:t>
      </w:r>
    </w:p>
    <w:p w14:paraId="416AECAE" w14:textId="77777777" w:rsidR="00F129FC" w:rsidRDefault="00000000">
      <w:pPr>
        <w:pStyle w:val="BodyText"/>
        <w:spacing w:before="121" w:line="360" w:lineRule="auto"/>
        <w:ind w:left="360" w:right="355" w:firstLine="561"/>
      </w:pPr>
      <w:r>
        <w:t>Histopathological changes in canine demodicosis showed desquamation and degeneration of external root sheath cells with pigment deposition, necrotic hair follicle markedly</w:t>
      </w:r>
      <w:r>
        <w:rPr>
          <w:spacing w:val="-3"/>
        </w:rPr>
        <w:t xml:space="preserve"> </w:t>
      </w:r>
      <w:r>
        <w:t>distended</w:t>
      </w:r>
      <w:r>
        <w:rPr>
          <w:spacing w:val="-2"/>
        </w:rPr>
        <w:t xml:space="preserve"> </w:t>
      </w:r>
      <w:r>
        <w:t>and</w:t>
      </w:r>
      <w:r>
        <w:rPr>
          <w:spacing w:val="-2"/>
        </w:rPr>
        <w:t xml:space="preserve"> </w:t>
      </w:r>
      <w:r>
        <w:t>filled</w:t>
      </w:r>
      <w:r>
        <w:rPr>
          <w:spacing w:val="-2"/>
        </w:rPr>
        <w:t xml:space="preserve"> </w:t>
      </w:r>
      <w:r>
        <w:t>with keratin,</w:t>
      </w:r>
      <w:r>
        <w:rPr>
          <w:spacing w:val="-2"/>
        </w:rPr>
        <w:t xml:space="preserve"> </w:t>
      </w:r>
      <w:r>
        <w:t>debris and</w:t>
      </w:r>
      <w:r>
        <w:rPr>
          <w:spacing w:val="-2"/>
        </w:rPr>
        <w:t xml:space="preserve"> </w:t>
      </w:r>
      <w:r>
        <w:t>purulent</w:t>
      </w:r>
      <w:r>
        <w:rPr>
          <w:spacing w:val="-2"/>
        </w:rPr>
        <w:t xml:space="preserve"> </w:t>
      </w:r>
      <w:r>
        <w:t>material. In</w:t>
      </w:r>
      <w:r>
        <w:rPr>
          <w:spacing w:val="-2"/>
        </w:rPr>
        <w:t xml:space="preserve"> </w:t>
      </w:r>
      <w:r>
        <w:t xml:space="preserve">present study histopathology revealed cross section of the mite in the epidermis with </w:t>
      </w:r>
      <w:r>
        <w:rPr>
          <w:spacing w:val="-2"/>
        </w:rPr>
        <w:t>hyperpigmentation.</w:t>
      </w:r>
    </w:p>
    <w:p w14:paraId="3E06968B" w14:textId="77777777" w:rsidR="00F129FC" w:rsidRDefault="00000000">
      <w:pPr>
        <w:pStyle w:val="BodyText"/>
        <w:spacing w:before="119"/>
        <w:ind w:left="360" w:right="0"/>
        <w:rPr>
          <w:rFonts w:ascii="Arial"/>
          <w:b/>
        </w:rPr>
      </w:pPr>
      <w:r>
        <w:rPr>
          <w:rFonts w:ascii="Arial"/>
          <w:b/>
        </w:rPr>
        <w:t>Keywords:</w:t>
      </w:r>
      <w:r>
        <w:rPr>
          <w:rFonts w:ascii="Arial"/>
          <w:b/>
          <w:spacing w:val="-17"/>
        </w:rPr>
        <w:t xml:space="preserve"> </w:t>
      </w:r>
      <w:r>
        <w:t>Demodicosis,</w:t>
      </w:r>
      <w:r>
        <w:rPr>
          <w:spacing w:val="-17"/>
        </w:rPr>
        <w:t xml:space="preserve"> </w:t>
      </w:r>
      <w:r>
        <w:t>Hematology,</w:t>
      </w:r>
      <w:r>
        <w:rPr>
          <w:spacing w:val="-16"/>
        </w:rPr>
        <w:t xml:space="preserve"> </w:t>
      </w:r>
      <w:r>
        <w:t>Biochemistry,</w:t>
      </w:r>
      <w:r>
        <w:rPr>
          <w:spacing w:val="-17"/>
        </w:rPr>
        <w:t xml:space="preserve"> </w:t>
      </w:r>
      <w:r>
        <w:t>Histopathological</w:t>
      </w:r>
      <w:r>
        <w:rPr>
          <w:spacing w:val="-16"/>
        </w:rPr>
        <w:t xml:space="preserve"> </w:t>
      </w:r>
      <w:r>
        <w:rPr>
          <w:spacing w:val="-2"/>
        </w:rPr>
        <w:t>changes</w:t>
      </w:r>
      <w:r>
        <w:rPr>
          <w:rFonts w:ascii="Arial"/>
          <w:b/>
          <w:spacing w:val="-2"/>
        </w:rPr>
        <w:t>.</w:t>
      </w:r>
    </w:p>
    <w:p w14:paraId="1DCA2957" w14:textId="77777777" w:rsidR="00F129FC" w:rsidRDefault="00F129FC">
      <w:pPr>
        <w:pStyle w:val="BodyText"/>
        <w:spacing w:before="0"/>
        <w:ind w:left="0" w:right="0"/>
        <w:jc w:val="left"/>
        <w:rPr>
          <w:rFonts w:ascii="Arial"/>
          <w:b/>
        </w:rPr>
      </w:pPr>
    </w:p>
    <w:p w14:paraId="6FA0B616" w14:textId="77777777" w:rsidR="00F129FC" w:rsidRDefault="00F129FC">
      <w:pPr>
        <w:pStyle w:val="BodyText"/>
        <w:spacing w:before="240"/>
        <w:ind w:left="0" w:right="0"/>
        <w:jc w:val="left"/>
        <w:rPr>
          <w:rFonts w:ascii="Arial"/>
          <w:b/>
        </w:rPr>
      </w:pPr>
    </w:p>
    <w:p w14:paraId="03764EC6" w14:textId="77777777" w:rsidR="00F129FC" w:rsidRDefault="00000000">
      <w:pPr>
        <w:pStyle w:val="Heading1"/>
        <w:ind w:left="427"/>
      </w:pPr>
      <w:r>
        <w:rPr>
          <w:spacing w:val="-2"/>
        </w:rPr>
        <w:t>INTRODUCTION</w:t>
      </w:r>
    </w:p>
    <w:p w14:paraId="6CB8C13E" w14:textId="77777777" w:rsidR="00F129FC" w:rsidRDefault="00000000">
      <w:pPr>
        <w:pStyle w:val="BodyText"/>
        <w:spacing w:before="260" w:line="360" w:lineRule="auto"/>
        <w:ind w:firstLine="633"/>
      </w:pPr>
      <w:r>
        <w:t xml:space="preserve">Demodectic mange is a severe parasitic skin disease of dog caused by an overpopulation of the follicular mite of various Demodex species. </w:t>
      </w:r>
      <w:r>
        <w:rPr>
          <w:rFonts w:ascii="Arial"/>
          <w:i/>
        </w:rPr>
        <w:t xml:space="preserve">Demodex </w:t>
      </w:r>
      <w:proofErr w:type="spellStart"/>
      <w:r>
        <w:rPr>
          <w:rFonts w:ascii="Arial"/>
          <w:i/>
        </w:rPr>
        <w:t>canis</w:t>
      </w:r>
      <w:proofErr w:type="spellEnd"/>
      <w:r>
        <w:rPr>
          <w:rFonts w:ascii="Arial"/>
          <w:i/>
        </w:rPr>
        <w:t xml:space="preserve"> </w:t>
      </w:r>
      <w:r>
        <w:rPr>
          <w:rFonts w:ascii="Arial"/>
          <w:b/>
        </w:rPr>
        <w:t>(Figure</w:t>
      </w:r>
      <w:r>
        <w:rPr>
          <w:rFonts w:ascii="Arial"/>
          <w:b/>
          <w:spacing w:val="19"/>
        </w:rPr>
        <w:t xml:space="preserve"> </w:t>
      </w:r>
      <w:r>
        <w:rPr>
          <w:rFonts w:ascii="Arial"/>
          <w:b/>
        </w:rPr>
        <w:t>1)</w:t>
      </w:r>
      <w:r>
        <w:rPr>
          <w:rFonts w:ascii="Arial"/>
          <w:b/>
          <w:spacing w:val="17"/>
        </w:rPr>
        <w:t xml:space="preserve"> </w:t>
      </w:r>
      <w:r>
        <w:t>is</w:t>
      </w:r>
      <w:r>
        <w:rPr>
          <w:spacing w:val="18"/>
        </w:rPr>
        <w:t xml:space="preserve"> </w:t>
      </w:r>
      <w:r>
        <w:t>the</w:t>
      </w:r>
      <w:r>
        <w:rPr>
          <w:spacing w:val="18"/>
        </w:rPr>
        <w:t xml:space="preserve"> </w:t>
      </w:r>
      <w:r>
        <w:t>main</w:t>
      </w:r>
      <w:r>
        <w:rPr>
          <w:spacing w:val="17"/>
        </w:rPr>
        <w:t xml:space="preserve"> </w:t>
      </w:r>
      <w:r>
        <w:t>causative</w:t>
      </w:r>
      <w:r>
        <w:rPr>
          <w:spacing w:val="19"/>
        </w:rPr>
        <w:t xml:space="preserve"> </w:t>
      </w:r>
      <w:r>
        <w:t>agent</w:t>
      </w:r>
      <w:r>
        <w:rPr>
          <w:spacing w:val="17"/>
        </w:rPr>
        <w:t xml:space="preserve"> </w:t>
      </w:r>
      <w:r>
        <w:t>of</w:t>
      </w:r>
      <w:r>
        <w:rPr>
          <w:spacing w:val="21"/>
        </w:rPr>
        <w:t xml:space="preserve"> </w:t>
      </w:r>
      <w:r>
        <w:t>canine</w:t>
      </w:r>
      <w:r>
        <w:rPr>
          <w:spacing w:val="19"/>
        </w:rPr>
        <w:t xml:space="preserve"> </w:t>
      </w:r>
      <w:r>
        <w:t>demodicosis</w:t>
      </w:r>
      <w:r>
        <w:rPr>
          <w:spacing w:val="18"/>
        </w:rPr>
        <w:t xml:space="preserve"> </w:t>
      </w:r>
      <w:r>
        <w:t>(Scott</w:t>
      </w:r>
      <w:r>
        <w:rPr>
          <w:spacing w:val="20"/>
        </w:rPr>
        <w:t xml:space="preserve"> </w:t>
      </w:r>
      <w:r>
        <w:rPr>
          <w:rFonts w:ascii="Arial"/>
          <w:i/>
        </w:rPr>
        <w:t>et</w:t>
      </w:r>
      <w:r>
        <w:rPr>
          <w:rFonts w:ascii="Arial"/>
          <w:i/>
          <w:spacing w:val="16"/>
        </w:rPr>
        <w:t xml:space="preserve"> </w:t>
      </w:r>
      <w:r>
        <w:rPr>
          <w:rFonts w:ascii="Arial"/>
          <w:i/>
        </w:rPr>
        <w:t>al.</w:t>
      </w:r>
      <w:r>
        <w:rPr>
          <w:rFonts w:ascii="Arial"/>
          <w:i/>
          <w:spacing w:val="19"/>
        </w:rPr>
        <w:t xml:space="preserve"> </w:t>
      </w:r>
      <w:r>
        <w:t>2001).</w:t>
      </w:r>
      <w:r>
        <w:rPr>
          <w:spacing w:val="17"/>
        </w:rPr>
        <w:t xml:space="preserve"> </w:t>
      </w:r>
      <w:r>
        <w:rPr>
          <w:spacing w:val="-5"/>
        </w:rPr>
        <w:t xml:space="preserve">The </w:t>
      </w:r>
      <w:r>
        <w:t xml:space="preserve">mites spend their entire life cycle on the skin of host. The life cycle of </w:t>
      </w:r>
      <w:r>
        <w:rPr>
          <w:rFonts w:ascii="Arial"/>
          <w:i/>
        </w:rPr>
        <w:t xml:space="preserve">Demodex </w:t>
      </w:r>
      <w:r>
        <w:t>is that an egg (fusiform shaped) develops into 6 legged larvae that then develops into an 8 legged nymph (Mueller, 2008).</w:t>
      </w:r>
    </w:p>
    <w:p w14:paraId="06DA5406" w14:textId="77777777" w:rsidR="00F129FC" w:rsidRDefault="00000000">
      <w:pPr>
        <w:pStyle w:val="BodyText"/>
        <w:spacing w:before="122" w:line="360" w:lineRule="auto"/>
        <w:ind w:left="360" w:right="357" w:firstLine="566"/>
      </w:pPr>
      <w:r>
        <w:t xml:space="preserve">It is assumed that immunosuppression or a defect in the skin immune system allows mites to proliferate in hair follicles (Mueller </w:t>
      </w:r>
      <w:r>
        <w:rPr>
          <w:rFonts w:ascii="Arial"/>
          <w:i/>
        </w:rPr>
        <w:t>et al.</w:t>
      </w:r>
      <w:r>
        <w:t>, 2011).</w:t>
      </w:r>
    </w:p>
    <w:p w14:paraId="00D61E42" w14:textId="77777777" w:rsidR="00F129FC" w:rsidRDefault="00000000">
      <w:pPr>
        <w:pStyle w:val="BodyText"/>
        <w:spacing w:before="117" w:line="360" w:lineRule="auto"/>
        <w:ind w:firstLine="566"/>
      </w:pPr>
      <w:r>
        <w:rPr>
          <w:rFonts w:ascii="Arial"/>
          <w:i/>
        </w:rPr>
        <w:t xml:space="preserve">Demodex </w:t>
      </w:r>
      <w:r>
        <w:t xml:space="preserve">mites multiply in hair follicles and sebaceous glands causing severe inflammation. To study the severity of damage caused, </w:t>
      </w:r>
      <w:proofErr w:type="spellStart"/>
      <w:r>
        <w:t>histopahological</w:t>
      </w:r>
      <w:proofErr w:type="spellEnd"/>
      <w:r>
        <w:t xml:space="preserve"> study of skin section was carried out. The aim of the article presented here was to describe the pathological findings in demodectic dogs.</w:t>
      </w:r>
    </w:p>
    <w:p w14:paraId="315386AB" w14:textId="77777777" w:rsidR="00F129FC" w:rsidRDefault="00F129FC">
      <w:pPr>
        <w:pStyle w:val="BodyText"/>
        <w:spacing w:before="0"/>
        <w:ind w:left="0" w:right="0"/>
        <w:jc w:val="left"/>
      </w:pPr>
    </w:p>
    <w:p w14:paraId="6C622CE7" w14:textId="77777777" w:rsidR="00F129FC" w:rsidRDefault="00F129FC">
      <w:pPr>
        <w:pStyle w:val="BodyText"/>
        <w:spacing w:before="106"/>
        <w:ind w:left="0" w:right="0"/>
        <w:jc w:val="left"/>
      </w:pPr>
    </w:p>
    <w:p w14:paraId="0D619D02" w14:textId="77777777" w:rsidR="00F129FC" w:rsidRDefault="00000000">
      <w:pPr>
        <w:pStyle w:val="Heading1"/>
        <w:ind w:left="427"/>
      </w:pPr>
      <w:r>
        <w:t>MATERIALS</w:t>
      </w:r>
      <w:r>
        <w:rPr>
          <w:spacing w:val="-8"/>
        </w:rPr>
        <w:t xml:space="preserve"> </w:t>
      </w:r>
      <w:r>
        <w:t>AND</w:t>
      </w:r>
      <w:r>
        <w:rPr>
          <w:spacing w:val="-12"/>
        </w:rPr>
        <w:t xml:space="preserve"> </w:t>
      </w:r>
      <w:r>
        <w:rPr>
          <w:spacing w:val="-2"/>
        </w:rPr>
        <w:t>METHODS</w:t>
      </w:r>
    </w:p>
    <w:p w14:paraId="74D113FD" w14:textId="77777777" w:rsidR="00F129FC" w:rsidRDefault="00000000">
      <w:pPr>
        <w:pStyle w:val="BodyText"/>
        <w:spacing w:before="257" w:line="360" w:lineRule="auto"/>
        <w:ind w:right="355" w:firstLine="720"/>
      </w:pPr>
      <w:r>
        <w:t xml:space="preserve">Animals presented to Veterinary Clinical Complex (VCC), College of Veterinary and Animal Science, Bikaner with dermatological signs were taken for present study. All the cases screened for dermatological disorders were clinically examined followed by routine </w:t>
      </w:r>
      <w:proofErr w:type="spellStart"/>
      <w:r>
        <w:t>haematological</w:t>
      </w:r>
      <w:proofErr w:type="spellEnd"/>
      <w:r>
        <w:t xml:space="preserve">, serum biochemistry, mineral estimation, skin scrapping was </w:t>
      </w:r>
      <w:r>
        <w:rPr>
          <w:spacing w:val="-2"/>
        </w:rPr>
        <w:t>done.</w:t>
      </w:r>
    </w:p>
    <w:p w14:paraId="13F8CEF1" w14:textId="77777777" w:rsidR="00F129FC" w:rsidRDefault="00000000">
      <w:pPr>
        <w:pStyle w:val="Heading2"/>
        <w:spacing w:before="121"/>
      </w:pPr>
      <w:r>
        <w:lastRenderedPageBreak/>
        <w:t>Hematology</w:t>
      </w:r>
      <w:r>
        <w:rPr>
          <w:spacing w:val="-15"/>
        </w:rPr>
        <w:t xml:space="preserve"> </w:t>
      </w:r>
      <w:r>
        <w:t>and</w:t>
      </w:r>
      <w:r>
        <w:rPr>
          <w:spacing w:val="-9"/>
        </w:rPr>
        <w:t xml:space="preserve"> </w:t>
      </w:r>
      <w:r>
        <w:t>Serum</w:t>
      </w:r>
      <w:r>
        <w:rPr>
          <w:spacing w:val="-8"/>
        </w:rPr>
        <w:t xml:space="preserve"> </w:t>
      </w:r>
      <w:r>
        <w:t>Biochemistry</w:t>
      </w:r>
      <w:r>
        <w:rPr>
          <w:spacing w:val="-14"/>
        </w:rPr>
        <w:t xml:space="preserve"> </w:t>
      </w:r>
      <w:r>
        <w:rPr>
          <w:spacing w:val="-2"/>
        </w:rPr>
        <w:t>analysis</w:t>
      </w:r>
    </w:p>
    <w:p w14:paraId="4B27BB1B" w14:textId="77777777" w:rsidR="00F129FC" w:rsidRDefault="00000000">
      <w:pPr>
        <w:pStyle w:val="BodyText"/>
        <w:spacing w:before="137" w:line="360" w:lineRule="auto"/>
        <w:ind w:right="355" w:firstLine="720"/>
      </w:pPr>
      <w:r>
        <w:t>About 5 ml of blood was collected aseptically from cephalic vein of the affected dogs and the serum was separated out. Blood was collected in sterile tubes coated with anticoagulant</w:t>
      </w:r>
      <w:r>
        <w:rPr>
          <w:spacing w:val="-3"/>
        </w:rPr>
        <w:t xml:space="preserve"> </w:t>
      </w:r>
      <w:r>
        <w:t>disodium</w:t>
      </w:r>
      <w:r>
        <w:rPr>
          <w:spacing w:val="-3"/>
        </w:rPr>
        <w:t xml:space="preserve"> </w:t>
      </w:r>
      <w:r>
        <w:t>salt</w:t>
      </w:r>
      <w:r>
        <w:rPr>
          <w:spacing w:val="-3"/>
        </w:rPr>
        <w:t xml:space="preserve"> </w:t>
      </w:r>
      <w:r>
        <w:t>of</w:t>
      </w:r>
      <w:r>
        <w:rPr>
          <w:spacing w:val="-1"/>
        </w:rPr>
        <w:t xml:space="preserve"> </w:t>
      </w:r>
      <w:r>
        <w:t>ethylene</w:t>
      </w:r>
      <w:r>
        <w:rPr>
          <w:spacing w:val="-3"/>
        </w:rPr>
        <w:t xml:space="preserve"> </w:t>
      </w:r>
      <w:r>
        <w:t>diamine</w:t>
      </w:r>
      <w:r>
        <w:rPr>
          <w:spacing w:val="-3"/>
        </w:rPr>
        <w:t xml:space="preserve"> </w:t>
      </w:r>
      <w:r>
        <w:t>tetra</w:t>
      </w:r>
      <w:r>
        <w:rPr>
          <w:spacing w:val="-3"/>
        </w:rPr>
        <w:t xml:space="preserve"> </w:t>
      </w:r>
      <w:r>
        <w:t>acetic</w:t>
      </w:r>
      <w:r>
        <w:rPr>
          <w:spacing w:val="-3"/>
        </w:rPr>
        <w:t xml:space="preserve"> </w:t>
      </w:r>
      <w:r>
        <w:t>acid</w:t>
      </w:r>
      <w:r>
        <w:rPr>
          <w:spacing w:val="-3"/>
        </w:rPr>
        <w:t xml:space="preserve"> </w:t>
      </w:r>
      <w:r>
        <w:t>(EDTA).</w:t>
      </w:r>
      <w:r>
        <w:rPr>
          <w:spacing w:val="-3"/>
        </w:rPr>
        <w:t xml:space="preserve"> </w:t>
      </w:r>
      <w:r>
        <w:t>Similarly</w:t>
      </w:r>
      <w:r>
        <w:rPr>
          <w:spacing w:val="-5"/>
        </w:rPr>
        <w:t xml:space="preserve"> </w:t>
      </w:r>
      <w:r>
        <w:t>blood and serum was collected from apparently healthy dogs for conducting haemato-biochemical studies. The serum was pipetted out in small tubes and was kept immediately in the deep freeze at -20ºC till analyses.</w:t>
      </w:r>
    </w:p>
    <w:p w14:paraId="4E41E68E" w14:textId="77777777" w:rsidR="00F129FC" w:rsidRDefault="00F129FC">
      <w:pPr>
        <w:pStyle w:val="BodyText"/>
        <w:spacing w:before="139"/>
        <w:ind w:left="0" w:right="0"/>
        <w:jc w:val="left"/>
      </w:pPr>
    </w:p>
    <w:p w14:paraId="5136B711" w14:textId="77777777" w:rsidR="00F129FC" w:rsidRDefault="00000000">
      <w:pPr>
        <w:pStyle w:val="Heading2"/>
      </w:pPr>
      <w:r>
        <w:rPr>
          <w:spacing w:val="-2"/>
        </w:rPr>
        <w:t>Hematology</w:t>
      </w:r>
    </w:p>
    <w:p w14:paraId="3B19ED14" w14:textId="77777777" w:rsidR="00F129FC" w:rsidRDefault="00000000">
      <w:pPr>
        <w:pStyle w:val="BodyText"/>
        <w:spacing w:before="136" w:line="360" w:lineRule="auto"/>
        <w:ind w:left="360" w:firstLine="719"/>
      </w:pPr>
      <w:r>
        <w:t>The blood samples were subjected for estimation of hemoglobin, packed cell volume, total erythrocyte count, total leukocyte count and differential leukocyte count. These parameters were analyzed as per the methods described by Jain (1986).</w:t>
      </w:r>
    </w:p>
    <w:p w14:paraId="6CA8F34D" w14:textId="77777777" w:rsidR="00F129FC" w:rsidRDefault="00F129FC">
      <w:pPr>
        <w:pStyle w:val="BodyText"/>
        <w:spacing w:line="360" w:lineRule="auto"/>
        <w:sectPr w:rsidR="00F129FC">
          <w:headerReference w:type="even" r:id="rId8"/>
          <w:headerReference w:type="default" r:id="rId9"/>
          <w:footerReference w:type="even" r:id="rId10"/>
          <w:footerReference w:type="default" r:id="rId11"/>
          <w:headerReference w:type="first" r:id="rId12"/>
          <w:footerReference w:type="first" r:id="rId13"/>
          <w:pgSz w:w="12240" w:h="15840"/>
          <w:pgMar w:top="1360" w:right="1080" w:bottom="280" w:left="1080" w:header="720" w:footer="720" w:gutter="0"/>
          <w:cols w:space="720"/>
        </w:sectPr>
      </w:pPr>
    </w:p>
    <w:p w14:paraId="288AC56A" w14:textId="77777777" w:rsidR="00F129FC" w:rsidRDefault="00000000">
      <w:pPr>
        <w:pStyle w:val="Heading2"/>
        <w:spacing w:before="38"/>
      </w:pPr>
      <w:r>
        <w:lastRenderedPageBreak/>
        <w:t>Biochemical</w:t>
      </w:r>
      <w:r>
        <w:rPr>
          <w:spacing w:val="-14"/>
        </w:rPr>
        <w:t xml:space="preserve"> </w:t>
      </w:r>
      <w:r>
        <w:rPr>
          <w:spacing w:val="-2"/>
        </w:rPr>
        <w:t>estimations</w:t>
      </w:r>
    </w:p>
    <w:p w14:paraId="6EC43179" w14:textId="77777777" w:rsidR="00F129FC" w:rsidRDefault="00000000">
      <w:pPr>
        <w:pStyle w:val="BodyText"/>
        <w:spacing w:before="257" w:line="360" w:lineRule="auto"/>
        <w:ind w:firstLine="720"/>
      </w:pPr>
      <w:r>
        <w:t>Biochemical analysis of serum samples were carried out to estimate serum glucose, serum total protein, albumin, globulin, A/G ratio, SGPT, SGOT, BUN and</w:t>
      </w:r>
      <w:r>
        <w:rPr>
          <w:spacing w:val="40"/>
        </w:rPr>
        <w:t xml:space="preserve"> </w:t>
      </w:r>
      <w:r>
        <w:t>serum creatinine.</w:t>
      </w:r>
    </w:p>
    <w:p w14:paraId="77AAD11C" w14:textId="77777777" w:rsidR="00F129FC" w:rsidRDefault="00000000">
      <w:pPr>
        <w:pStyle w:val="BodyText"/>
        <w:spacing w:before="121" w:line="360" w:lineRule="auto"/>
        <w:ind w:firstLine="720"/>
      </w:pPr>
      <w:r>
        <w:t xml:space="preserve">Above biochemical estimations were evaluated with </w:t>
      </w:r>
      <w:proofErr w:type="spellStart"/>
      <w:r>
        <w:t>autoanalyser</w:t>
      </w:r>
      <w:proofErr w:type="spellEnd"/>
      <w:r>
        <w:t xml:space="preserve"> (IDEXX </w:t>
      </w:r>
      <w:proofErr w:type="spellStart"/>
      <w:r>
        <w:t>VetAutoread</w:t>
      </w:r>
      <w:proofErr w:type="spellEnd"/>
      <w:r>
        <w:t xml:space="preserve"> IDEXX Lab.) using standard kits.</w:t>
      </w:r>
    </w:p>
    <w:p w14:paraId="6F251D93" w14:textId="77777777" w:rsidR="00F129FC" w:rsidRDefault="00000000">
      <w:pPr>
        <w:pStyle w:val="Heading2"/>
        <w:spacing w:before="120"/>
      </w:pPr>
      <w:r>
        <w:t>Serum</w:t>
      </w:r>
      <w:r>
        <w:rPr>
          <w:spacing w:val="-9"/>
        </w:rPr>
        <w:t xml:space="preserve"> </w:t>
      </w:r>
      <w:r>
        <w:t>mineral</w:t>
      </w:r>
      <w:r>
        <w:rPr>
          <w:spacing w:val="-9"/>
        </w:rPr>
        <w:t xml:space="preserve"> </w:t>
      </w:r>
      <w:r>
        <w:rPr>
          <w:spacing w:val="-2"/>
        </w:rPr>
        <w:t>estimation</w:t>
      </w:r>
    </w:p>
    <w:p w14:paraId="7DEC7AB9" w14:textId="77777777" w:rsidR="00F129FC" w:rsidRDefault="00000000">
      <w:pPr>
        <w:pStyle w:val="BodyText"/>
        <w:spacing w:before="254" w:line="360" w:lineRule="auto"/>
        <w:ind w:firstLine="720"/>
      </w:pPr>
      <w:r>
        <w:t xml:space="preserve">Serum sample were digested as per the procedure described by Kolmer </w:t>
      </w:r>
      <w:r>
        <w:rPr>
          <w:rFonts w:ascii="Arial"/>
          <w:i/>
        </w:rPr>
        <w:t xml:space="preserve">et al. </w:t>
      </w:r>
      <w:r>
        <w:t>(1951). Serum 1 ml with of Double Acid mixture (conc.HNo3 + 70% perchloric acid in 2: 1 ratio) 1 ml was mixed in digestion tube and digested on low heat (70-80</w:t>
      </w:r>
      <w:r>
        <w:rPr>
          <w:vertAlign w:val="superscript"/>
        </w:rPr>
        <w:t>o</w:t>
      </w:r>
      <w:r>
        <w:t xml:space="preserve">c) using heat bench until the digested sample become watery clear and emitted white fumes and volume reduced to 0.5 ml. Final volume of filtrate was made up to 25 ml with triple distilled, </w:t>
      </w:r>
      <w:proofErr w:type="spellStart"/>
      <w:r>
        <w:t>deionised</w:t>
      </w:r>
      <w:proofErr w:type="spellEnd"/>
      <w:r>
        <w:t xml:space="preserve"> water. Then the Zinc, cobalt and copper was estimated from</w:t>
      </w:r>
      <w:r>
        <w:rPr>
          <w:spacing w:val="40"/>
        </w:rPr>
        <w:t xml:space="preserve"> </w:t>
      </w:r>
      <w:r>
        <w:t xml:space="preserve">digested serum sample using </w:t>
      </w:r>
      <w:proofErr w:type="spellStart"/>
      <w:r>
        <w:t>iCAP</w:t>
      </w:r>
      <w:proofErr w:type="spellEnd"/>
      <w:r>
        <w:t xml:space="preserve"> 7000 Series Spectrometer.</w:t>
      </w:r>
    </w:p>
    <w:p w14:paraId="742D01D1" w14:textId="77777777" w:rsidR="00F129FC" w:rsidRDefault="00000000">
      <w:pPr>
        <w:pStyle w:val="Heading2"/>
        <w:spacing w:before="124"/>
        <w:ind w:left="427"/>
      </w:pPr>
      <w:r>
        <w:rPr>
          <w:spacing w:val="-2"/>
        </w:rPr>
        <w:t>Histopathology</w:t>
      </w:r>
    </w:p>
    <w:p w14:paraId="7DAB9D71" w14:textId="77777777" w:rsidR="00F129FC" w:rsidRDefault="00000000">
      <w:pPr>
        <w:pStyle w:val="BodyText"/>
        <w:spacing w:before="137" w:line="360" w:lineRule="auto"/>
        <w:ind w:right="354" w:firstLine="720"/>
      </w:pPr>
      <w:r>
        <w:t>For histopathological studies, skin biopsies were collected from affected dog with canine demodicosis. The affected area was gently cleaned with 70% alcohol and the</w:t>
      </w:r>
      <w:r>
        <w:rPr>
          <w:spacing w:val="40"/>
        </w:rPr>
        <w:t xml:space="preserve"> </w:t>
      </w:r>
      <w:r>
        <w:t xml:space="preserve">site was desensitized with local </w:t>
      </w:r>
      <w:proofErr w:type="spellStart"/>
      <w:r>
        <w:t>anaesthetic</w:t>
      </w:r>
      <w:proofErr w:type="spellEnd"/>
      <w:r>
        <w:t xml:space="preserve"> solution (Lignocaine hydrochloride, 1-2%) subcutaneously (Wilkinson and Harvey, 1994). Punch biopsy instrument (4 mm diameter) was placed on the area of skin to be biopsied and the punch was drilled into the tissue with rotary motion in one direction applying moderate pressure (Muller and Kirk, 1969; Nesbitt, 1983). The punch was withdrawn and the circular piece of skin was snipped off from the punch by a sterile scalped while holding the piece of skin with a plain forceps. The wound was closed with one skin stitch. The biopsy of the skin thus obtained was preserved in 10% formalin. The biopsy samples were processed for paraffin sectioning method as described by Luna (1968). The paraffin sections of 6-8µ thickness were cut and stained by routine Mayer’s </w:t>
      </w:r>
      <w:proofErr w:type="spellStart"/>
      <w:r>
        <w:t>Haematoxylin</w:t>
      </w:r>
      <w:proofErr w:type="spellEnd"/>
      <w:r>
        <w:t xml:space="preserve"> and Eosin staining method and Periodic Acid Schiff (PAS) stain (Drury and Wallington, 1980).</w:t>
      </w:r>
    </w:p>
    <w:p w14:paraId="3BC3F542" w14:textId="77777777" w:rsidR="00F129FC" w:rsidRDefault="00F129FC">
      <w:pPr>
        <w:pStyle w:val="BodyText"/>
        <w:spacing w:line="360" w:lineRule="auto"/>
        <w:sectPr w:rsidR="00F129FC">
          <w:pgSz w:w="12240" w:h="15840"/>
          <w:pgMar w:top="1400" w:right="1080" w:bottom="280" w:left="1080" w:header="720" w:footer="720" w:gutter="0"/>
          <w:cols w:space="720"/>
        </w:sectPr>
      </w:pPr>
    </w:p>
    <w:p w14:paraId="67A4AC88" w14:textId="77777777" w:rsidR="00F129FC" w:rsidRDefault="00000000">
      <w:pPr>
        <w:pStyle w:val="Heading2"/>
        <w:spacing w:before="38"/>
      </w:pPr>
      <w:r>
        <w:lastRenderedPageBreak/>
        <w:t>Statistical</w:t>
      </w:r>
      <w:r>
        <w:rPr>
          <w:spacing w:val="-12"/>
        </w:rPr>
        <w:t xml:space="preserve"> </w:t>
      </w:r>
      <w:r>
        <w:rPr>
          <w:spacing w:val="-2"/>
        </w:rPr>
        <w:t>analysis</w:t>
      </w:r>
    </w:p>
    <w:p w14:paraId="337BC927" w14:textId="77777777" w:rsidR="00F129FC" w:rsidRDefault="00000000">
      <w:pPr>
        <w:pStyle w:val="BodyText"/>
        <w:spacing w:before="257" w:line="360" w:lineRule="auto"/>
        <w:ind w:right="355" w:firstLine="720"/>
      </w:pPr>
      <w:r>
        <w:t>The data obtained was compiled and statistical analysis will be carried out as described by Snedecor and Cochran (1968).</w:t>
      </w:r>
    </w:p>
    <w:p w14:paraId="2EE0BEA7" w14:textId="77777777" w:rsidR="00F129FC" w:rsidRDefault="00F129FC">
      <w:pPr>
        <w:pStyle w:val="BodyText"/>
        <w:spacing w:before="0"/>
        <w:ind w:left="0" w:right="0"/>
        <w:jc w:val="left"/>
      </w:pPr>
    </w:p>
    <w:p w14:paraId="7EFECC34" w14:textId="77777777" w:rsidR="00F129FC" w:rsidRDefault="00F129FC">
      <w:pPr>
        <w:pStyle w:val="BodyText"/>
        <w:spacing w:before="103"/>
        <w:ind w:left="0" w:right="0"/>
        <w:jc w:val="left"/>
      </w:pPr>
    </w:p>
    <w:p w14:paraId="0FECE84C" w14:textId="77777777" w:rsidR="00F129FC" w:rsidRDefault="00000000">
      <w:pPr>
        <w:pStyle w:val="Heading1"/>
      </w:pPr>
      <w:r>
        <w:t>RESULTS</w:t>
      </w:r>
      <w:r>
        <w:rPr>
          <w:spacing w:val="-9"/>
        </w:rPr>
        <w:t xml:space="preserve"> </w:t>
      </w:r>
      <w:r>
        <w:t>AND</w:t>
      </w:r>
      <w:r>
        <w:rPr>
          <w:spacing w:val="-11"/>
        </w:rPr>
        <w:t xml:space="preserve"> </w:t>
      </w:r>
      <w:r>
        <w:rPr>
          <w:spacing w:val="-2"/>
        </w:rPr>
        <w:t>DISCUSSION</w:t>
      </w:r>
    </w:p>
    <w:p w14:paraId="0E985366" w14:textId="77777777" w:rsidR="00F129FC" w:rsidRDefault="00000000">
      <w:pPr>
        <w:pStyle w:val="BodyText"/>
        <w:spacing w:before="257" w:line="360" w:lineRule="auto"/>
        <w:ind w:right="358" w:firstLine="720"/>
      </w:pPr>
      <w:r>
        <w:t>In the present study hematological, Biochemical and mineral examination was done in 25 dogs positive for canine demodicosis which was compared with values of apparently healthy animals.</w:t>
      </w:r>
    </w:p>
    <w:p w14:paraId="04C434D8" w14:textId="77777777" w:rsidR="00F129FC" w:rsidRDefault="00000000">
      <w:pPr>
        <w:pStyle w:val="Heading2"/>
        <w:spacing w:before="121"/>
      </w:pPr>
      <w:proofErr w:type="spellStart"/>
      <w:r>
        <w:rPr>
          <w:spacing w:val="-2"/>
        </w:rPr>
        <w:t>Haematological</w:t>
      </w:r>
      <w:proofErr w:type="spellEnd"/>
      <w:r>
        <w:rPr>
          <w:spacing w:val="11"/>
        </w:rPr>
        <w:t xml:space="preserve"> </w:t>
      </w:r>
      <w:r>
        <w:rPr>
          <w:spacing w:val="-2"/>
        </w:rPr>
        <w:t>values</w:t>
      </w:r>
    </w:p>
    <w:p w14:paraId="762BEC33" w14:textId="77777777" w:rsidR="00F129FC" w:rsidRDefault="00000000">
      <w:pPr>
        <w:pStyle w:val="BodyText"/>
        <w:spacing w:before="257" w:line="360" w:lineRule="auto"/>
        <w:ind w:firstLine="720"/>
      </w:pPr>
      <w:proofErr w:type="spellStart"/>
      <w:r>
        <w:t>Haematological</w:t>
      </w:r>
      <w:proofErr w:type="spellEnd"/>
      <w:r>
        <w:t xml:space="preserve"> values in apparently healthy dogs and demodectic dogs are presented in Table 1.</w:t>
      </w:r>
    </w:p>
    <w:p w14:paraId="0E116767" w14:textId="77777777" w:rsidR="00F129FC" w:rsidRDefault="00000000">
      <w:pPr>
        <w:pStyle w:val="BodyText"/>
        <w:spacing w:line="360" w:lineRule="auto"/>
        <w:ind w:firstLine="720"/>
      </w:pPr>
      <w:r>
        <w:t xml:space="preserve">The </w:t>
      </w:r>
      <w:proofErr w:type="spellStart"/>
      <w:r>
        <w:t>mean±S.E</w:t>
      </w:r>
      <w:proofErr w:type="spellEnd"/>
      <w:r>
        <w:t xml:space="preserve"> </w:t>
      </w:r>
      <w:proofErr w:type="spellStart"/>
      <w:r>
        <w:t>haemoglobin</w:t>
      </w:r>
      <w:proofErr w:type="spellEnd"/>
      <w:r>
        <w:t xml:space="preserve"> (gm/dl) value in canine demodicosis dogs was significantly lower compared to healthy animals. Similarly low </w:t>
      </w:r>
      <w:proofErr w:type="spellStart"/>
      <w:r>
        <w:t>haemoglobin</w:t>
      </w:r>
      <w:proofErr w:type="spellEnd"/>
      <w:r>
        <w:t xml:space="preserve"> content was reported by Pradhan </w:t>
      </w:r>
      <w:r>
        <w:rPr>
          <w:rFonts w:ascii="Arial" w:hAnsi="Arial"/>
          <w:i/>
        </w:rPr>
        <w:t xml:space="preserve">et al. </w:t>
      </w:r>
      <w:r>
        <w:t xml:space="preserve">(2012), Chakraborty and Pradhan (2015) and Kumar </w:t>
      </w:r>
      <w:r>
        <w:rPr>
          <w:rFonts w:ascii="Arial" w:hAnsi="Arial"/>
          <w:i/>
        </w:rPr>
        <w:t xml:space="preserve">et al. </w:t>
      </w:r>
      <w:r>
        <w:t>(2018). This condition might be due to reduced appetite, loss of blood during scratching and also loss of skin protein as mentioned by Chakraborty and Pradhan (2015) or due</w:t>
      </w:r>
      <w:r>
        <w:rPr>
          <w:spacing w:val="40"/>
        </w:rPr>
        <w:t xml:space="preserve"> </w:t>
      </w:r>
      <w:r>
        <w:t xml:space="preserve">to the stress arising from the disease (Sakina </w:t>
      </w:r>
      <w:r>
        <w:rPr>
          <w:rFonts w:ascii="Arial" w:hAnsi="Arial"/>
          <w:i/>
        </w:rPr>
        <w:t>et al</w:t>
      </w:r>
      <w:r>
        <w:t>., 2012).</w:t>
      </w:r>
    </w:p>
    <w:p w14:paraId="4CB88C18" w14:textId="77777777" w:rsidR="00F129FC" w:rsidRDefault="00000000">
      <w:pPr>
        <w:pStyle w:val="BodyText"/>
        <w:spacing w:line="360" w:lineRule="auto"/>
        <w:ind w:right="353" w:firstLine="720"/>
      </w:pPr>
      <w:r>
        <w:t xml:space="preserve">In the present study </w:t>
      </w:r>
      <w:proofErr w:type="spellStart"/>
      <w:r>
        <w:t>mean±S.E</w:t>
      </w:r>
      <w:proofErr w:type="spellEnd"/>
      <w:r>
        <w:t xml:space="preserve"> PCV% of demodectic dogs was significantly</w:t>
      </w:r>
      <w:r>
        <w:rPr>
          <w:spacing w:val="40"/>
        </w:rPr>
        <w:t xml:space="preserve"> </w:t>
      </w:r>
      <w:r>
        <w:t xml:space="preserve">lower than healthy group showing PCV%, which could be due to </w:t>
      </w:r>
      <w:proofErr w:type="spellStart"/>
      <w:r>
        <w:t>aneamia</w:t>
      </w:r>
      <w:proofErr w:type="spellEnd"/>
      <w:r>
        <w:t>. This finding</w:t>
      </w:r>
      <w:r>
        <w:rPr>
          <w:spacing w:val="40"/>
        </w:rPr>
        <w:t xml:space="preserve"> </w:t>
      </w:r>
      <w:r>
        <w:t xml:space="preserve">is in accordance with Nair and </w:t>
      </w:r>
      <w:proofErr w:type="spellStart"/>
      <w:r>
        <w:t>Nauriyal</w:t>
      </w:r>
      <w:proofErr w:type="spellEnd"/>
      <w:r>
        <w:t xml:space="preserve"> (2007), Srikala </w:t>
      </w:r>
      <w:r>
        <w:rPr>
          <w:rFonts w:ascii="Arial" w:hAnsi="Arial"/>
          <w:i/>
        </w:rPr>
        <w:t xml:space="preserve">et al. </w:t>
      </w:r>
      <w:r>
        <w:t xml:space="preserve">(2010), Janus </w:t>
      </w:r>
      <w:r>
        <w:rPr>
          <w:rFonts w:ascii="Arial" w:hAnsi="Arial"/>
          <w:i/>
        </w:rPr>
        <w:t>et al</w:t>
      </w:r>
      <w:r>
        <w:t xml:space="preserve">. (2014) and Haleem </w:t>
      </w:r>
      <w:r>
        <w:rPr>
          <w:rFonts w:ascii="Arial" w:hAnsi="Arial"/>
          <w:i/>
        </w:rPr>
        <w:t>et al</w:t>
      </w:r>
      <w:r>
        <w:t>. (2015).</w:t>
      </w:r>
    </w:p>
    <w:p w14:paraId="5EE35EF7" w14:textId="77777777" w:rsidR="00F129FC" w:rsidRDefault="00000000">
      <w:pPr>
        <w:pStyle w:val="BodyText"/>
        <w:spacing w:line="360" w:lineRule="auto"/>
        <w:ind w:firstLine="720"/>
      </w:pPr>
      <w:r>
        <w:t xml:space="preserve">The </w:t>
      </w:r>
      <w:proofErr w:type="spellStart"/>
      <w:r>
        <w:t>haematological</w:t>
      </w:r>
      <w:proofErr w:type="spellEnd"/>
      <w:r>
        <w:t xml:space="preserve"> studies revealed a significantly (P&lt;0.05) lower TEC in dogs with</w:t>
      </w:r>
      <w:r>
        <w:rPr>
          <w:spacing w:val="-1"/>
        </w:rPr>
        <w:t xml:space="preserve"> </w:t>
      </w:r>
      <w:r>
        <w:t>canine</w:t>
      </w:r>
      <w:r>
        <w:rPr>
          <w:spacing w:val="-1"/>
        </w:rPr>
        <w:t xml:space="preserve"> </w:t>
      </w:r>
      <w:r>
        <w:t>demodicosis.</w:t>
      </w:r>
      <w:r>
        <w:rPr>
          <w:spacing w:val="-1"/>
        </w:rPr>
        <w:t xml:space="preserve"> </w:t>
      </w:r>
      <w:r>
        <w:t>These</w:t>
      </w:r>
      <w:r>
        <w:rPr>
          <w:spacing w:val="-1"/>
        </w:rPr>
        <w:t xml:space="preserve"> </w:t>
      </w:r>
      <w:r>
        <w:t>findings</w:t>
      </w:r>
      <w:r>
        <w:rPr>
          <w:spacing w:val="-2"/>
        </w:rPr>
        <w:t xml:space="preserve"> </w:t>
      </w:r>
      <w:r>
        <w:t>were</w:t>
      </w:r>
      <w:r>
        <w:rPr>
          <w:spacing w:val="-1"/>
        </w:rPr>
        <w:t xml:space="preserve"> </w:t>
      </w:r>
      <w:r>
        <w:t>in</w:t>
      </w:r>
      <w:r>
        <w:rPr>
          <w:spacing w:val="-1"/>
        </w:rPr>
        <w:t xml:space="preserve"> </w:t>
      </w:r>
      <w:r>
        <w:t>agreement</w:t>
      </w:r>
      <w:r>
        <w:rPr>
          <w:spacing w:val="-1"/>
        </w:rPr>
        <w:t xml:space="preserve"> </w:t>
      </w:r>
      <w:r>
        <w:t>with</w:t>
      </w:r>
      <w:r>
        <w:rPr>
          <w:spacing w:val="-1"/>
        </w:rPr>
        <w:t xml:space="preserve"> </w:t>
      </w:r>
      <w:r>
        <w:t>the</w:t>
      </w:r>
      <w:r>
        <w:rPr>
          <w:spacing w:val="-1"/>
        </w:rPr>
        <w:t xml:space="preserve"> </w:t>
      </w:r>
      <w:r>
        <w:t>Singh</w:t>
      </w:r>
      <w:r>
        <w:rPr>
          <w:spacing w:val="-1"/>
        </w:rPr>
        <w:t xml:space="preserve"> </w:t>
      </w:r>
      <w:r>
        <w:rPr>
          <w:rFonts w:ascii="Arial"/>
          <w:i/>
        </w:rPr>
        <w:t>et</w:t>
      </w:r>
      <w:r>
        <w:rPr>
          <w:rFonts w:ascii="Arial"/>
          <w:i/>
          <w:spacing w:val="-1"/>
        </w:rPr>
        <w:t xml:space="preserve"> </w:t>
      </w:r>
      <w:r>
        <w:rPr>
          <w:rFonts w:ascii="Arial"/>
          <w:i/>
        </w:rPr>
        <w:t>al.</w:t>
      </w:r>
      <w:r>
        <w:rPr>
          <w:rFonts w:ascii="Arial"/>
          <w:i/>
          <w:spacing w:val="-1"/>
        </w:rPr>
        <w:t xml:space="preserve"> </w:t>
      </w:r>
      <w:r>
        <w:t xml:space="preserve">(2011), </w:t>
      </w:r>
      <w:proofErr w:type="spellStart"/>
      <w:r>
        <w:t>Oludunsin</w:t>
      </w:r>
      <w:proofErr w:type="spellEnd"/>
      <w:r>
        <w:t xml:space="preserve"> </w:t>
      </w:r>
      <w:r>
        <w:rPr>
          <w:rFonts w:ascii="Arial"/>
          <w:i/>
        </w:rPr>
        <w:t>et</w:t>
      </w:r>
      <w:r>
        <w:rPr>
          <w:rFonts w:ascii="Arial"/>
          <w:i/>
          <w:spacing w:val="-2"/>
        </w:rPr>
        <w:t xml:space="preserve"> </w:t>
      </w:r>
      <w:r>
        <w:rPr>
          <w:rFonts w:ascii="Arial"/>
          <w:i/>
        </w:rPr>
        <w:t xml:space="preserve">al. </w:t>
      </w:r>
      <w:r>
        <w:t>(2014), Chakraborty</w:t>
      </w:r>
      <w:r>
        <w:rPr>
          <w:spacing w:val="-3"/>
        </w:rPr>
        <w:t xml:space="preserve"> </w:t>
      </w:r>
      <w:r>
        <w:t>and Pradhan (2015)</w:t>
      </w:r>
      <w:r>
        <w:rPr>
          <w:spacing w:val="-1"/>
        </w:rPr>
        <w:t xml:space="preserve"> </w:t>
      </w:r>
      <w:r>
        <w:t>and Haleem</w:t>
      </w:r>
      <w:r>
        <w:rPr>
          <w:spacing w:val="-1"/>
        </w:rPr>
        <w:t xml:space="preserve"> </w:t>
      </w:r>
      <w:r>
        <w:rPr>
          <w:rFonts w:ascii="Arial"/>
          <w:i/>
        </w:rPr>
        <w:t>et al</w:t>
      </w:r>
      <w:r>
        <w:t>. (2015).</w:t>
      </w:r>
      <w:r>
        <w:rPr>
          <w:spacing w:val="-2"/>
        </w:rPr>
        <w:t xml:space="preserve"> </w:t>
      </w:r>
      <w:r>
        <w:t>The decrease in TEC could be related to the deteriorated condition of the dogs due to continuous itching and reduced appetite.</w:t>
      </w:r>
    </w:p>
    <w:p w14:paraId="53BF194C" w14:textId="77777777" w:rsidR="00F129FC" w:rsidRDefault="00F129FC">
      <w:pPr>
        <w:pStyle w:val="BodyText"/>
        <w:spacing w:line="360" w:lineRule="auto"/>
        <w:sectPr w:rsidR="00F129FC">
          <w:pgSz w:w="12240" w:h="15840"/>
          <w:pgMar w:top="1400" w:right="1080" w:bottom="280" w:left="1080" w:header="720" w:footer="720" w:gutter="0"/>
          <w:cols w:space="720"/>
        </w:sectPr>
      </w:pPr>
    </w:p>
    <w:p w14:paraId="653A6434" w14:textId="77777777" w:rsidR="00F129FC" w:rsidRDefault="00000000">
      <w:pPr>
        <w:pStyle w:val="BodyText"/>
        <w:spacing w:before="78" w:line="360" w:lineRule="auto"/>
        <w:ind w:firstLine="720"/>
      </w:pPr>
      <w:r>
        <w:lastRenderedPageBreak/>
        <w:t xml:space="preserve">Total leukocyte count was significantly (p&lt;0.05) higher in dogs with canine demodicosis. According to </w:t>
      </w:r>
      <w:proofErr w:type="spellStart"/>
      <w:r>
        <w:t>Dimri</w:t>
      </w:r>
      <w:proofErr w:type="spellEnd"/>
      <w:r>
        <w:t xml:space="preserve"> </w:t>
      </w:r>
      <w:r>
        <w:rPr>
          <w:rFonts w:ascii="Arial"/>
          <w:i/>
        </w:rPr>
        <w:t>et al</w:t>
      </w:r>
      <w:r>
        <w:t>., 2006 the allergic reaction due to mites or their products coupled with the inflammatory process might have contributed to leukocytosis.</w:t>
      </w:r>
    </w:p>
    <w:p w14:paraId="0C2318CD" w14:textId="77777777" w:rsidR="00F129FC" w:rsidRDefault="00000000">
      <w:pPr>
        <w:pStyle w:val="BodyText"/>
        <w:spacing w:before="116" w:line="360" w:lineRule="auto"/>
        <w:ind w:firstLine="720"/>
      </w:pPr>
      <w:r>
        <w:rPr>
          <w:sz w:val="22"/>
        </w:rPr>
        <w:t>N</w:t>
      </w:r>
      <w:r>
        <w:t>eutrophil</w:t>
      </w:r>
      <w:r>
        <w:rPr>
          <w:sz w:val="22"/>
        </w:rPr>
        <w:t xml:space="preserve">ia </w:t>
      </w:r>
      <w:r>
        <w:t xml:space="preserve">condition accordance with Reddy </w:t>
      </w:r>
      <w:r>
        <w:rPr>
          <w:rFonts w:ascii="Arial"/>
          <w:i/>
        </w:rPr>
        <w:t xml:space="preserve">et al. </w:t>
      </w:r>
      <w:r>
        <w:t xml:space="preserve">(2014a), Chakraborty and Pradhan (2015) and Kumar </w:t>
      </w:r>
      <w:r>
        <w:rPr>
          <w:rFonts w:ascii="Arial"/>
          <w:i/>
        </w:rPr>
        <w:t xml:space="preserve">et al. </w:t>
      </w:r>
      <w:r>
        <w:t>(2018), who reported that generalized inflammation and response of leukocytes to prolonged antigenic stimulus might have resulted in leukocytosis and neutrophilia.</w:t>
      </w:r>
    </w:p>
    <w:p w14:paraId="397B3841" w14:textId="77777777" w:rsidR="00F129FC" w:rsidRDefault="00000000">
      <w:pPr>
        <w:pStyle w:val="BodyText"/>
        <w:spacing w:before="123" w:line="360" w:lineRule="auto"/>
        <w:ind w:left="360" w:firstLine="719"/>
      </w:pPr>
      <w:r>
        <w:t xml:space="preserve">Lymphopenia condition accordance with Chakraborty and Pradhan (2015), Haleem </w:t>
      </w:r>
      <w:r>
        <w:rPr>
          <w:rFonts w:ascii="Arial"/>
          <w:i/>
        </w:rPr>
        <w:t xml:space="preserve">et al. </w:t>
      </w:r>
      <w:r>
        <w:t xml:space="preserve">(2015) and Kumar </w:t>
      </w:r>
      <w:r>
        <w:rPr>
          <w:rFonts w:ascii="Arial"/>
          <w:i/>
        </w:rPr>
        <w:t xml:space="preserve">et al. </w:t>
      </w:r>
      <w:r>
        <w:t>(2018). Lymphopenia might be due to the reason that cell mediated immunity plays important role in fighting against demodectic mites.</w:t>
      </w:r>
    </w:p>
    <w:p w14:paraId="4729EFE7" w14:textId="77777777" w:rsidR="00F129FC" w:rsidRDefault="00000000">
      <w:pPr>
        <w:pStyle w:val="BodyText"/>
        <w:spacing w:before="121" w:line="360" w:lineRule="auto"/>
        <w:ind w:firstLine="720"/>
      </w:pPr>
      <w:r>
        <w:t xml:space="preserve">Increased eosinophil count was also reported and similar observation also reported by Reddy </w:t>
      </w:r>
      <w:r>
        <w:rPr>
          <w:rFonts w:ascii="Arial"/>
          <w:i/>
        </w:rPr>
        <w:t xml:space="preserve">et al. </w:t>
      </w:r>
      <w:r>
        <w:t xml:space="preserve">(2014a), Chakraborty and Pradhan (2015) and Kumar </w:t>
      </w:r>
      <w:r>
        <w:rPr>
          <w:rFonts w:ascii="Arial"/>
          <w:i/>
        </w:rPr>
        <w:t xml:space="preserve">et al. </w:t>
      </w:r>
      <w:r>
        <w:t xml:space="preserve">(2018). </w:t>
      </w:r>
      <w:proofErr w:type="spellStart"/>
      <w:r>
        <w:t>Dimri</w:t>
      </w:r>
      <w:proofErr w:type="spellEnd"/>
      <w:r>
        <w:t xml:space="preserve"> </w:t>
      </w:r>
      <w:r>
        <w:rPr>
          <w:rFonts w:ascii="Arial"/>
          <w:i/>
        </w:rPr>
        <w:t xml:space="preserve">et al., </w:t>
      </w:r>
      <w:r>
        <w:t xml:space="preserve">(2000) opined that </w:t>
      </w:r>
      <w:r>
        <w:rPr>
          <w:rFonts w:ascii="Arial"/>
          <w:i/>
        </w:rPr>
        <w:t xml:space="preserve">D. </w:t>
      </w:r>
      <w:proofErr w:type="spellStart"/>
      <w:r>
        <w:rPr>
          <w:rFonts w:ascii="Arial"/>
          <w:i/>
        </w:rPr>
        <w:t>canis</w:t>
      </w:r>
      <w:proofErr w:type="spellEnd"/>
      <w:r>
        <w:rPr>
          <w:rFonts w:ascii="Arial"/>
          <w:i/>
        </w:rPr>
        <w:t xml:space="preserve"> </w:t>
      </w:r>
      <w:r>
        <w:t xml:space="preserve">causes irritation of the skin tissues and stimulates the mast cells for release of more histamine and since histamine is chemotactic for eosinophils from the bone marrow to the circulation leading to </w:t>
      </w:r>
      <w:r>
        <w:rPr>
          <w:spacing w:val="-2"/>
        </w:rPr>
        <w:t>eosinophilia.</w:t>
      </w:r>
    </w:p>
    <w:p w14:paraId="2EE5460A" w14:textId="77777777" w:rsidR="00F129FC" w:rsidRDefault="00000000">
      <w:pPr>
        <w:pStyle w:val="BodyText"/>
        <w:spacing w:line="360" w:lineRule="auto"/>
        <w:ind w:firstLine="720"/>
      </w:pPr>
      <w:r>
        <w:t>In the present investigation, there was a significant decrease</w:t>
      </w:r>
      <w:r>
        <w:rPr>
          <w:spacing w:val="40"/>
        </w:rPr>
        <w:t xml:space="preserve"> </w:t>
      </w:r>
      <w:r>
        <w:t xml:space="preserve">in monocyte value of demodectic dog as compare with healthy group while no significant changes in </w:t>
      </w:r>
      <w:proofErr w:type="spellStart"/>
      <w:r>
        <w:rPr>
          <w:spacing w:val="-2"/>
        </w:rPr>
        <w:t>besophils</w:t>
      </w:r>
      <w:proofErr w:type="spellEnd"/>
      <w:r>
        <w:rPr>
          <w:spacing w:val="-2"/>
        </w:rPr>
        <w:t>.</w:t>
      </w:r>
    </w:p>
    <w:p w14:paraId="2CBCAE4C" w14:textId="77777777" w:rsidR="00F129FC" w:rsidRDefault="00F129FC">
      <w:pPr>
        <w:pStyle w:val="BodyText"/>
        <w:spacing w:before="0"/>
        <w:ind w:left="0" w:right="0"/>
        <w:jc w:val="left"/>
      </w:pPr>
    </w:p>
    <w:p w14:paraId="5D776A15" w14:textId="77777777" w:rsidR="00F129FC" w:rsidRDefault="00F129FC">
      <w:pPr>
        <w:pStyle w:val="BodyText"/>
        <w:spacing w:before="102"/>
        <w:ind w:left="0" w:right="0"/>
        <w:jc w:val="left"/>
      </w:pPr>
    </w:p>
    <w:p w14:paraId="492D849D" w14:textId="77777777" w:rsidR="00F129FC" w:rsidRDefault="00000000">
      <w:pPr>
        <w:pStyle w:val="BodyText"/>
        <w:tabs>
          <w:tab w:val="left" w:pos="1351"/>
        </w:tabs>
        <w:spacing w:before="0" w:after="3" w:line="360" w:lineRule="auto"/>
        <w:ind w:left="1351" w:right="358" w:hanging="992"/>
        <w:jc w:val="left"/>
      </w:pPr>
      <w:r>
        <w:rPr>
          <w:rFonts w:ascii="Arial" w:hAnsi="Arial"/>
          <w:b/>
          <w:spacing w:val="-2"/>
        </w:rPr>
        <w:t>Table1</w:t>
      </w:r>
      <w:r>
        <w:rPr>
          <w:rFonts w:ascii="Arial" w:hAnsi="Arial"/>
          <w:b/>
        </w:rPr>
        <w:tab/>
      </w:r>
      <w:proofErr w:type="spellStart"/>
      <w:r>
        <w:t>Mean±S.E</w:t>
      </w:r>
      <w:proofErr w:type="spellEnd"/>
      <w:r>
        <w:t xml:space="preserve"> </w:t>
      </w:r>
      <w:proofErr w:type="spellStart"/>
      <w:r>
        <w:t>haematological</w:t>
      </w:r>
      <w:proofErr w:type="spellEnd"/>
      <w:r>
        <w:t xml:space="preserve"> values of</w:t>
      </w:r>
      <w:r>
        <w:rPr>
          <w:spacing w:val="32"/>
        </w:rPr>
        <w:t xml:space="preserve"> </w:t>
      </w:r>
      <w:r>
        <w:t xml:space="preserve">healthy control and canine demodicosis </w:t>
      </w:r>
      <w:r>
        <w:rPr>
          <w:spacing w:val="-4"/>
        </w:rPr>
        <w:t>dogs</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089"/>
        <w:gridCol w:w="3077"/>
        <w:gridCol w:w="3077"/>
      </w:tblGrid>
      <w:tr w:rsidR="00F129FC" w14:paraId="6EF87F1C" w14:textId="77777777">
        <w:trPr>
          <w:trHeight w:val="412"/>
        </w:trPr>
        <w:tc>
          <w:tcPr>
            <w:tcW w:w="3089" w:type="dxa"/>
          </w:tcPr>
          <w:p w14:paraId="724564D5" w14:textId="77777777" w:rsidR="00F129FC" w:rsidRDefault="00000000">
            <w:pPr>
              <w:pStyle w:val="TableParagraph"/>
              <w:spacing w:line="274" w:lineRule="exact"/>
              <w:ind w:left="10"/>
              <w:jc w:val="center"/>
              <w:rPr>
                <w:rFonts w:ascii="Arial"/>
                <w:b/>
                <w:sz w:val="24"/>
              </w:rPr>
            </w:pPr>
            <w:r>
              <w:rPr>
                <w:rFonts w:ascii="Arial"/>
                <w:b/>
                <w:spacing w:val="-2"/>
                <w:sz w:val="24"/>
              </w:rPr>
              <w:t>Parameters</w:t>
            </w:r>
          </w:p>
        </w:tc>
        <w:tc>
          <w:tcPr>
            <w:tcW w:w="3077" w:type="dxa"/>
          </w:tcPr>
          <w:p w14:paraId="6B3A2B80" w14:textId="77777777" w:rsidR="00F129FC" w:rsidRDefault="00000000">
            <w:pPr>
              <w:pStyle w:val="TableParagraph"/>
              <w:spacing w:line="274" w:lineRule="exact"/>
              <w:ind w:left="11" w:right="4"/>
              <w:jc w:val="center"/>
              <w:rPr>
                <w:rFonts w:ascii="Arial"/>
                <w:b/>
                <w:sz w:val="24"/>
              </w:rPr>
            </w:pPr>
            <w:r>
              <w:rPr>
                <w:rFonts w:ascii="Arial"/>
                <w:b/>
                <w:sz w:val="24"/>
              </w:rPr>
              <w:t>Healthy</w:t>
            </w:r>
            <w:r>
              <w:rPr>
                <w:rFonts w:ascii="Arial"/>
                <w:b/>
                <w:spacing w:val="-12"/>
                <w:sz w:val="24"/>
              </w:rPr>
              <w:t xml:space="preserve"> </w:t>
            </w:r>
            <w:r>
              <w:rPr>
                <w:rFonts w:ascii="Arial"/>
                <w:b/>
                <w:sz w:val="24"/>
              </w:rPr>
              <w:t>dog</w:t>
            </w:r>
            <w:r>
              <w:rPr>
                <w:rFonts w:ascii="Arial"/>
                <w:b/>
                <w:spacing w:val="-6"/>
                <w:sz w:val="24"/>
              </w:rPr>
              <w:t xml:space="preserve"> </w:t>
            </w:r>
            <w:r>
              <w:rPr>
                <w:rFonts w:ascii="Arial"/>
                <w:b/>
                <w:spacing w:val="-4"/>
                <w:sz w:val="24"/>
              </w:rPr>
              <w:t>(n=6)</w:t>
            </w:r>
          </w:p>
        </w:tc>
        <w:tc>
          <w:tcPr>
            <w:tcW w:w="3077" w:type="dxa"/>
          </w:tcPr>
          <w:p w14:paraId="31A3AB89" w14:textId="77777777" w:rsidR="00F129FC" w:rsidRDefault="00000000">
            <w:pPr>
              <w:pStyle w:val="TableParagraph"/>
              <w:spacing w:line="274" w:lineRule="exact"/>
              <w:ind w:left="11" w:right="5"/>
              <w:jc w:val="center"/>
              <w:rPr>
                <w:rFonts w:ascii="Arial"/>
                <w:b/>
                <w:sz w:val="24"/>
              </w:rPr>
            </w:pPr>
            <w:r>
              <w:rPr>
                <w:rFonts w:ascii="Arial"/>
                <w:b/>
                <w:sz w:val="24"/>
              </w:rPr>
              <w:t>Positive</w:t>
            </w:r>
            <w:r>
              <w:rPr>
                <w:rFonts w:ascii="Arial"/>
                <w:b/>
                <w:spacing w:val="-8"/>
                <w:sz w:val="24"/>
              </w:rPr>
              <w:t xml:space="preserve"> </w:t>
            </w:r>
            <w:r>
              <w:rPr>
                <w:rFonts w:ascii="Arial"/>
                <w:b/>
                <w:sz w:val="24"/>
              </w:rPr>
              <w:t>dog</w:t>
            </w:r>
            <w:r>
              <w:rPr>
                <w:rFonts w:ascii="Arial"/>
                <w:b/>
                <w:spacing w:val="-8"/>
                <w:sz w:val="24"/>
              </w:rPr>
              <w:t xml:space="preserve"> </w:t>
            </w:r>
            <w:r>
              <w:rPr>
                <w:rFonts w:ascii="Arial"/>
                <w:b/>
                <w:spacing w:val="-2"/>
                <w:sz w:val="24"/>
              </w:rPr>
              <w:t>(n=25)</w:t>
            </w:r>
          </w:p>
        </w:tc>
      </w:tr>
      <w:tr w:rsidR="00F129FC" w14:paraId="0E701276" w14:textId="77777777">
        <w:trPr>
          <w:trHeight w:val="381"/>
        </w:trPr>
        <w:tc>
          <w:tcPr>
            <w:tcW w:w="3089" w:type="dxa"/>
          </w:tcPr>
          <w:p w14:paraId="4E3134EE" w14:textId="77777777" w:rsidR="00F129FC" w:rsidRDefault="00000000">
            <w:pPr>
              <w:pStyle w:val="TableParagraph"/>
              <w:ind w:left="10" w:right="2"/>
              <w:jc w:val="center"/>
            </w:pPr>
            <w:r>
              <w:t>Hb</w:t>
            </w:r>
            <w:r>
              <w:rPr>
                <w:spacing w:val="-2"/>
              </w:rPr>
              <w:t xml:space="preserve"> (g/dl)</w:t>
            </w:r>
          </w:p>
        </w:tc>
        <w:tc>
          <w:tcPr>
            <w:tcW w:w="3077" w:type="dxa"/>
          </w:tcPr>
          <w:p w14:paraId="50C86DB2" w14:textId="77777777" w:rsidR="00F129FC" w:rsidRDefault="00000000">
            <w:pPr>
              <w:pStyle w:val="TableParagraph"/>
              <w:ind w:left="11"/>
              <w:jc w:val="center"/>
            </w:pPr>
            <w:r>
              <w:rPr>
                <w:spacing w:val="-2"/>
              </w:rPr>
              <w:t>13.93±0.22</w:t>
            </w:r>
          </w:p>
        </w:tc>
        <w:tc>
          <w:tcPr>
            <w:tcW w:w="3077" w:type="dxa"/>
          </w:tcPr>
          <w:p w14:paraId="34251A56" w14:textId="77777777" w:rsidR="00F129FC" w:rsidRDefault="00000000">
            <w:pPr>
              <w:pStyle w:val="TableParagraph"/>
              <w:spacing w:line="248" w:lineRule="exact"/>
              <w:ind w:left="11" w:right="2"/>
              <w:jc w:val="center"/>
              <w:rPr>
                <w:rFonts w:ascii="Arial" w:hAnsi="Arial"/>
                <w:b/>
              </w:rPr>
            </w:pPr>
            <w:r>
              <w:rPr>
                <w:spacing w:val="-2"/>
              </w:rPr>
              <w:t>9.82±018</w:t>
            </w:r>
            <w:r>
              <w:rPr>
                <w:rFonts w:ascii="Arial" w:hAnsi="Arial"/>
                <w:b/>
                <w:spacing w:val="-2"/>
                <w:vertAlign w:val="superscript"/>
              </w:rPr>
              <w:t>*</w:t>
            </w:r>
          </w:p>
        </w:tc>
      </w:tr>
      <w:tr w:rsidR="00F129FC" w14:paraId="0DFDB2D6" w14:textId="77777777">
        <w:trPr>
          <w:trHeight w:val="378"/>
        </w:trPr>
        <w:tc>
          <w:tcPr>
            <w:tcW w:w="3089" w:type="dxa"/>
          </w:tcPr>
          <w:p w14:paraId="7C80FBB3" w14:textId="77777777" w:rsidR="00F129FC" w:rsidRDefault="00000000">
            <w:pPr>
              <w:pStyle w:val="TableParagraph"/>
              <w:ind w:left="10"/>
              <w:jc w:val="center"/>
            </w:pPr>
            <w:r>
              <w:t>PCV</w:t>
            </w:r>
            <w:r>
              <w:rPr>
                <w:spacing w:val="-2"/>
              </w:rPr>
              <w:t xml:space="preserve"> </w:t>
            </w:r>
            <w:r>
              <w:rPr>
                <w:spacing w:val="-5"/>
              </w:rPr>
              <w:t>(%)</w:t>
            </w:r>
          </w:p>
        </w:tc>
        <w:tc>
          <w:tcPr>
            <w:tcW w:w="3077" w:type="dxa"/>
          </w:tcPr>
          <w:p w14:paraId="7B450320" w14:textId="77777777" w:rsidR="00F129FC" w:rsidRDefault="00000000">
            <w:pPr>
              <w:pStyle w:val="TableParagraph"/>
              <w:ind w:left="11" w:right="2"/>
              <w:jc w:val="center"/>
            </w:pPr>
            <w:r>
              <w:rPr>
                <w:spacing w:val="-2"/>
              </w:rPr>
              <w:t>40.67±1.2</w:t>
            </w:r>
          </w:p>
        </w:tc>
        <w:tc>
          <w:tcPr>
            <w:tcW w:w="3077" w:type="dxa"/>
          </w:tcPr>
          <w:p w14:paraId="2195E1A1" w14:textId="77777777" w:rsidR="00F129FC" w:rsidRDefault="00000000">
            <w:pPr>
              <w:pStyle w:val="TableParagraph"/>
              <w:spacing w:line="248" w:lineRule="exact"/>
              <w:ind w:left="11" w:right="4"/>
              <w:jc w:val="center"/>
              <w:rPr>
                <w:rFonts w:ascii="Arial" w:hAnsi="Arial"/>
                <w:b/>
              </w:rPr>
            </w:pPr>
            <w:r>
              <w:rPr>
                <w:spacing w:val="-2"/>
              </w:rPr>
              <w:t>26.52±0.48</w:t>
            </w:r>
            <w:r>
              <w:rPr>
                <w:rFonts w:ascii="Arial" w:hAnsi="Arial"/>
                <w:b/>
                <w:spacing w:val="-2"/>
                <w:vertAlign w:val="superscript"/>
              </w:rPr>
              <w:t>*</w:t>
            </w:r>
          </w:p>
        </w:tc>
      </w:tr>
      <w:tr w:rsidR="00F129FC" w14:paraId="08074C24" w14:textId="77777777">
        <w:trPr>
          <w:trHeight w:val="378"/>
        </w:trPr>
        <w:tc>
          <w:tcPr>
            <w:tcW w:w="3089" w:type="dxa"/>
          </w:tcPr>
          <w:p w14:paraId="58C26AF2" w14:textId="77777777" w:rsidR="00F129FC" w:rsidRDefault="00000000">
            <w:pPr>
              <w:pStyle w:val="TableParagraph"/>
              <w:ind w:left="10"/>
              <w:jc w:val="center"/>
            </w:pPr>
            <w:r>
              <w:t>TEC</w:t>
            </w:r>
            <w:r>
              <w:rPr>
                <w:spacing w:val="-1"/>
              </w:rPr>
              <w:t xml:space="preserve"> </w:t>
            </w:r>
            <w:r>
              <w:rPr>
                <w:spacing w:val="-2"/>
              </w:rPr>
              <w:t>(10</w:t>
            </w:r>
            <w:r>
              <w:rPr>
                <w:spacing w:val="-2"/>
                <w:vertAlign w:val="superscript"/>
              </w:rPr>
              <w:t>6</w:t>
            </w:r>
            <w:r>
              <w:rPr>
                <w:spacing w:val="-2"/>
              </w:rPr>
              <w:t>/</w:t>
            </w:r>
            <w:proofErr w:type="spellStart"/>
            <w:r>
              <w:rPr>
                <w:rFonts w:ascii="Microsoft Sans Serif" w:hAnsi="Microsoft Sans Serif"/>
                <w:spacing w:val="-2"/>
              </w:rPr>
              <w:t>μ</w:t>
            </w:r>
            <w:r>
              <w:rPr>
                <w:spacing w:val="-2"/>
              </w:rPr>
              <w:t>l</w:t>
            </w:r>
            <w:proofErr w:type="spellEnd"/>
            <w:r>
              <w:rPr>
                <w:spacing w:val="-2"/>
              </w:rPr>
              <w:t>)</w:t>
            </w:r>
          </w:p>
        </w:tc>
        <w:tc>
          <w:tcPr>
            <w:tcW w:w="3077" w:type="dxa"/>
          </w:tcPr>
          <w:p w14:paraId="358DB063" w14:textId="77777777" w:rsidR="00F129FC" w:rsidRDefault="00000000">
            <w:pPr>
              <w:pStyle w:val="TableParagraph"/>
              <w:ind w:left="11" w:right="2"/>
              <w:jc w:val="center"/>
            </w:pPr>
            <w:r>
              <w:rPr>
                <w:spacing w:val="-2"/>
              </w:rPr>
              <w:t>6.4±0.2</w:t>
            </w:r>
          </w:p>
        </w:tc>
        <w:tc>
          <w:tcPr>
            <w:tcW w:w="3077" w:type="dxa"/>
          </w:tcPr>
          <w:p w14:paraId="17B4A414" w14:textId="77777777" w:rsidR="00F129FC" w:rsidRDefault="00000000">
            <w:pPr>
              <w:pStyle w:val="TableParagraph"/>
              <w:spacing w:line="248" w:lineRule="exact"/>
              <w:ind w:left="11" w:right="4"/>
              <w:jc w:val="center"/>
              <w:rPr>
                <w:rFonts w:ascii="Arial" w:hAnsi="Arial"/>
                <w:b/>
              </w:rPr>
            </w:pPr>
            <w:r>
              <w:rPr>
                <w:spacing w:val="-2"/>
              </w:rPr>
              <w:t>5.0±0.08</w:t>
            </w:r>
            <w:r>
              <w:rPr>
                <w:rFonts w:ascii="Arial" w:hAnsi="Arial"/>
                <w:b/>
                <w:spacing w:val="-2"/>
                <w:vertAlign w:val="superscript"/>
              </w:rPr>
              <w:t>*</w:t>
            </w:r>
          </w:p>
        </w:tc>
      </w:tr>
      <w:tr w:rsidR="00F129FC" w14:paraId="7FB81461" w14:textId="77777777">
        <w:trPr>
          <w:trHeight w:val="378"/>
        </w:trPr>
        <w:tc>
          <w:tcPr>
            <w:tcW w:w="3089" w:type="dxa"/>
          </w:tcPr>
          <w:p w14:paraId="1B00AF63" w14:textId="77777777" w:rsidR="00F129FC" w:rsidRDefault="00000000">
            <w:pPr>
              <w:pStyle w:val="TableParagraph"/>
              <w:ind w:left="10"/>
              <w:jc w:val="center"/>
            </w:pPr>
            <w:r>
              <w:t>TLC</w:t>
            </w:r>
            <w:r>
              <w:rPr>
                <w:spacing w:val="-1"/>
              </w:rPr>
              <w:t xml:space="preserve"> </w:t>
            </w:r>
            <w:r>
              <w:rPr>
                <w:spacing w:val="-2"/>
              </w:rPr>
              <w:t>(10</w:t>
            </w:r>
            <w:r>
              <w:rPr>
                <w:spacing w:val="-2"/>
                <w:vertAlign w:val="superscript"/>
              </w:rPr>
              <w:t>3</w:t>
            </w:r>
            <w:r>
              <w:rPr>
                <w:spacing w:val="-2"/>
              </w:rPr>
              <w:t>/</w:t>
            </w:r>
            <w:proofErr w:type="spellStart"/>
            <w:r>
              <w:rPr>
                <w:rFonts w:ascii="Microsoft Sans Serif" w:hAnsi="Microsoft Sans Serif"/>
                <w:spacing w:val="-2"/>
              </w:rPr>
              <w:t>μ</w:t>
            </w:r>
            <w:r>
              <w:rPr>
                <w:spacing w:val="-2"/>
              </w:rPr>
              <w:t>l</w:t>
            </w:r>
            <w:proofErr w:type="spellEnd"/>
            <w:r>
              <w:rPr>
                <w:spacing w:val="-2"/>
              </w:rPr>
              <w:t>)</w:t>
            </w:r>
          </w:p>
        </w:tc>
        <w:tc>
          <w:tcPr>
            <w:tcW w:w="3077" w:type="dxa"/>
          </w:tcPr>
          <w:p w14:paraId="0455262F" w14:textId="77777777" w:rsidR="00F129FC" w:rsidRDefault="00000000">
            <w:pPr>
              <w:pStyle w:val="TableParagraph"/>
              <w:ind w:left="11" w:right="2"/>
              <w:jc w:val="center"/>
            </w:pPr>
            <w:r>
              <w:rPr>
                <w:spacing w:val="-2"/>
              </w:rPr>
              <w:t>11.3±0.82</w:t>
            </w:r>
          </w:p>
        </w:tc>
        <w:tc>
          <w:tcPr>
            <w:tcW w:w="3077" w:type="dxa"/>
          </w:tcPr>
          <w:p w14:paraId="51A69BE9" w14:textId="77777777" w:rsidR="00F129FC" w:rsidRDefault="00000000">
            <w:pPr>
              <w:pStyle w:val="TableParagraph"/>
              <w:spacing w:line="248" w:lineRule="exact"/>
              <w:ind w:left="11" w:right="4"/>
              <w:jc w:val="center"/>
              <w:rPr>
                <w:rFonts w:ascii="Arial"/>
                <w:b/>
              </w:rPr>
            </w:pPr>
            <w:r>
              <w:rPr>
                <w:spacing w:val="-2"/>
              </w:rPr>
              <w:t>15.570.29</w:t>
            </w:r>
            <w:r>
              <w:rPr>
                <w:rFonts w:ascii="Arial"/>
                <w:b/>
                <w:spacing w:val="-2"/>
                <w:vertAlign w:val="superscript"/>
              </w:rPr>
              <w:t>*</w:t>
            </w:r>
          </w:p>
        </w:tc>
      </w:tr>
      <w:tr w:rsidR="00F129FC" w14:paraId="6F0A0724" w14:textId="77777777">
        <w:trPr>
          <w:trHeight w:val="381"/>
        </w:trPr>
        <w:tc>
          <w:tcPr>
            <w:tcW w:w="3089" w:type="dxa"/>
          </w:tcPr>
          <w:p w14:paraId="53F2CC2A" w14:textId="77777777" w:rsidR="00F129FC" w:rsidRDefault="00000000">
            <w:pPr>
              <w:pStyle w:val="TableParagraph"/>
              <w:spacing w:line="240" w:lineRule="auto"/>
              <w:ind w:left="10" w:right="2"/>
              <w:jc w:val="center"/>
            </w:pPr>
            <w:r>
              <w:t xml:space="preserve">N </w:t>
            </w:r>
            <w:r>
              <w:rPr>
                <w:spacing w:val="-5"/>
              </w:rPr>
              <w:t>(%)</w:t>
            </w:r>
          </w:p>
        </w:tc>
        <w:tc>
          <w:tcPr>
            <w:tcW w:w="3077" w:type="dxa"/>
          </w:tcPr>
          <w:p w14:paraId="248F5C13" w14:textId="77777777" w:rsidR="00F129FC" w:rsidRDefault="00000000">
            <w:pPr>
              <w:pStyle w:val="TableParagraph"/>
              <w:spacing w:line="240" w:lineRule="auto"/>
              <w:ind w:left="11" w:right="2"/>
              <w:jc w:val="center"/>
            </w:pPr>
            <w:r>
              <w:rPr>
                <w:spacing w:val="-2"/>
              </w:rPr>
              <w:t>71±2.29</w:t>
            </w:r>
          </w:p>
        </w:tc>
        <w:tc>
          <w:tcPr>
            <w:tcW w:w="3077" w:type="dxa"/>
          </w:tcPr>
          <w:p w14:paraId="2ACBFF33" w14:textId="77777777" w:rsidR="00F129FC" w:rsidRDefault="00000000">
            <w:pPr>
              <w:pStyle w:val="TableParagraph"/>
              <w:ind w:left="11" w:right="4"/>
              <w:jc w:val="center"/>
              <w:rPr>
                <w:rFonts w:ascii="Arial" w:hAnsi="Arial"/>
                <w:b/>
              </w:rPr>
            </w:pPr>
            <w:r>
              <w:rPr>
                <w:spacing w:val="-2"/>
              </w:rPr>
              <w:t>83.52±0.48</w:t>
            </w:r>
            <w:r>
              <w:rPr>
                <w:rFonts w:ascii="Arial" w:hAnsi="Arial"/>
                <w:b/>
                <w:spacing w:val="-2"/>
                <w:vertAlign w:val="superscript"/>
              </w:rPr>
              <w:t>*</w:t>
            </w:r>
          </w:p>
        </w:tc>
      </w:tr>
      <w:tr w:rsidR="00F129FC" w14:paraId="75E2CB3C" w14:textId="77777777">
        <w:trPr>
          <w:trHeight w:val="378"/>
        </w:trPr>
        <w:tc>
          <w:tcPr>
            <w:tcW w:w="3089" w:type="dxa"/>
          </w:tcPr>
          <w:p w14:paraId="6EC0D215" w14:textId="77777777" w:rsidR="00F129FC" w:rsidRDefault="00000000">
            <w:pPr>
              <w:pStyle w:val="TableParagraph"/>
              <w:ind w:left="10"/>
              <w:jc w:val="center"/>
            </w:pPr>
            <w:r>
              <w:t>L</w:t>
            </w:r>
            <w:r>
              <w:rPr>
                <w:spacing w:val="1"/>
              </w:rPr>
              <w:t xml:space="preserve"> </w:t>
            </w:r>
            <w:r>
              <w:rPr>
                <w:spacing w:val="-5"/>
              </w:rPr>
              <w:t>(%)</w:t>
            </w:r>
          </w:p>
        </w:tc>
        <w:tc>
          <w:tcPr>
            <w:tcW w:w="3077" w:type="dxa"/>
          </w:tcPr>
          <w:p w14:paraId="76485FF2" w14:textId="77777777" w:rsidR="00F129FC" w:rsidRDefault="00000000">
            <w:pPr>
              <w:pStyle w:val="TableParagraph"/>
              <w:ind w:left="11"/>
              <w:jc w:val="center"/>
            </w:pPr>
            <w:r>
              <w:rPr>
                <w:spacing w:val="-2"/>
              </w:rPr>
              <w:t>21.83±2.34</w:t>
            </w:r>
          </w:p>
        </w:tc>
        <w:tc>
          <w:tcPr>
            <w:tcW w:w="3077" w:type="dxa"/>
          </w:tcPr>
          <w:p w14:paraId="5195AB8B" w14:textId="77777777" w:rsidR="00F129FC" w:rsidRDefault="00000000">
            <w:pPr>
              <w:pStyle w:val="TableParagraph"/>
              <w:spacing w:line="248" w:lineRule="exact"/>
              <w:ind w:left="11" w:right="2"/>
              <w:jc w:val="center"/>
              <w:rPr>
                <w:rFonts w:ascii="Arial" w:hAnsi="Arial"/>
                <w:b/>
              </w:rPr>
            </w:pPr>
            <w:r>
              <w:rPr>
                <w:spacing w:val="-2"/>
              </w:rPr>
              <w:t>9.24±0.28</w:t>
            </w:r>
            <w:r>
              <w:rPr>
                <w:rFonts w:ascii="Arial" w:hAnsi="Arial"/>
                <w:b/>
                <w:spacing w:val="-2"/>
                <w:vertAlign w:val="superscript"/>
              </w:rPr>
              <w:t>*</w:t>
            </w:r>
          </w:p>
        </w:tc>
      </w:tr>
    </w:tbl>
    <w:p w14:paraId="189BB18A" w14:textId="77777777" w:rsidR="00F129FC" w:rsidRDefault="00F129FC">
      <w:pPr>
        <w:pStyle w:val="TableParagraph"/>
        <w:spacing w:line="248" w:lineRule="exact"/>
        <w:jc w:val="center"/>
        <w:rPr>
          <w:rFonts w:ascii="Arial" w:hAnsi="Arial"/>
          <w:b/>
        </w:rPr>
        <w:sectPr w:rsidR="00F129FC">
          <w:pgSz w:w="12240" w:h="15840"/>
          <w:pgMar w:top="1360" w:right="1080" w:bottom="1616" w:left="108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089"/>
        <w:gridCol w:w="3077"/>
        <w:gridCol w:w="3077"/>
      </w:tblGrid>
      <w:tr w:rsidR="00F129FC" w14:paraId="10FC84A6" w14:textId="77777777">
        <w:trPr>
          <w:trHeight w:val="378"/>
        </w:trPr>
        <w:tc>
          <w:tcPr>
            <w:tcW w:w="3089" w:type="dxa"/>
          </w:tcPr>
          <w:p w14:paraId="27F6AE9C" w14:textId="77777777" w:rsidR="00F129FC" w:rsidRDefault="00000000">
            <w:pPr>
              <w:pStyle w:val="TableParagraph"/>
              <w:ind w:left="10" w:right="2"/>
              <w:jc w:val="center"/>
            </w:pPr>
            <w:r>
              <w:lastRenderedPageBreak/>
              <w:t>M</w:t>
            </w:r>
            <w:r>
              <w:rPr>
                <w:spacing w:val="-3"/>
              </w:rPr>
              <w:t xml:space="preserve"> </w:t>
            </w:r>
            <w:r>
              <w:rPr>
                <w:spacing w:val="-5"/>
              </w:rPr>
              <w:t>(%)</w:t>
            </w:r>
          </w:p>
        </w:tc>
        <w:tc>
          <w:tcPr>
            <w:tcW w:w="3077" w:type="dxa"/>
          </w:tcPr>
          <w:p w14:paraId="3D956858" w14:textId="77777777" w:rsidR="00F129FC" w:rsidRDefault="00000000">
            <w:pPr>
              <w:pStyle w:val="TableParagraph"/>
              <w:ind w:left="11" w:right="2"/>
              <w:jc w:val="center"/>
            </w:pPr>
            <w:r>
              <w:rPr>
                <w:spacing w:val="-2"/>
              </w:rPr>
              <w:t>5.83±0.87</w:t>
            </w:r>
          </w:p>
        </w:tc>
        <w:tc>
          <w:tcPr>
            <w:tcW w:w="3077" w:type="dxa"/>
          </w:tcPr>
          <w:p w14:paraId="27D0D15C" w14:textId="77777777" w:rsidR="00F129FC" w:rsidRDefault="00000000">
            <w:pPr>
              <w:pStyle w:val="TableParagraph"/>
              <w:spacing w:line="248" w:lineRule="exact"/>
              <w:ind w:left="11" w:right="2"/>
              <w:jc w:val="center"/>
              <w:rPr>
                <w:rFonts w:ascii="Arial" w:hAnsi="Arial"/>
                <w:b/>
              </w:rPr>
            </w:pPr>
            <w:r>
              <w:rPr>
                <w:spacing w:val="-2"/>
              </w:rPr>
              <w:t>2.16±0.23</w:t>
            </w:r>
            <w:r>
              <w:rPr>
                <w:rFonts w:ascii="Arial" w:hAnsi="Arial"/>
                <w:b/>
                <w:spacing w:val="-2"/>
                <w:vertAlign w:val="superscript"/>
              </w:rPr>
              <w:t>*</w:t>
            </w:r>
          </w:p>
        </w:tc>
      </w:tr>
      <w:tr w:rsidR="00F129FC" w14:paraId="0B0EA435" w14:textId="77777777">
        <w:trPr>
          <w:trHeight w:val="436"/>
        </w:trPr>
        <w:tc>
          <w:tcPr>
            <w:tcW w:w="3089" w:type="dxa"/>
          </w:tcPr>
          <w:p w14:paraId="4279A00F" w14:textId="77777777" w:rsidR="00F129FC" w:rsidRDefault="00000000">
            <w:pPr>
              <w:pStyle w:val="TableParagraph"/>
              <w:ind w:left="10"/>
              <w:jc w:val="center"/>
            </w:pPr>
            <w:r>
              <w:t xml:space="preserve">E </w:t>
            </w:r>
            <w:r>
              <w:rPr>
                <w:spacing w:val="-5"/>
              </w:rPr>
              <w:t>(%)</w:t>
            </w:r>
          </w:p>
        </w:tc>
        <w:tc>
          <w:tcPr>
            <w:tcW w:w="3077" w:type="dxa"/>
          </w:tcPr>
          <w:p w14:paraId="4EFE2B6D" w14:textId="77777777" w:rsidR="00F129FC" w:rsidRDefault="00000000">
            <w:pPr>
              <w:pStyle w:val="TableParagraph"/>
              <w:ind w:left="11" w:right="2"/>
              <w:jc w:val="center"/>
            </w:pPr>
            <w:r>
              <w:rPr>
                <w:spacing w:val="-2"/>
              </w:rPr>
              <w:t>1.17±0.31</w:t>
            </w:r>
          </w:p>
        </w:tc>
        <w:tc>
          <w:tcPr>
            <w:tcW w:w="3077" w:type="dxa"/>
          </w:tcPr>
          <w:p w14:paraId="07D4D57C" w14:textId="77777777" w:rsidR="00F129FC" w:rsidRDefault="00000000">
            <w:pPr>
              <w:pStyle w:val="TableParagraph"/>
              <w:spacing w:line="248" w:lineRule="exact"/>
              <w:ind w:left="11" w:right="2"/>
              <w:jc w:val="center"/>
              <w:rPr>
                <w:rFonts w:ascii="Arial" w:hAnsi="Arial"/>
                <w:b/>
              </w:rPr>
            </w:pPr>
            <w:r>
              <w:rPr>
                <w:spacing w:val="-2"/>
              </w:rPr>
              <w:t>4.88±0.37</w:t>
            </w:r>
            <w:r>
              <w:rPr>
                <w:rFonts w:ascii="Arial" w:hAnsi="Arial"/>
                <w:b/>
                <w:spacing w:val="-2"/>
                <w:vertAlign w:val="superscript"/>
              </w:rPr>
              <w:t>*</w:t>
            </w:r>
          </w:p>
        </w:tc>
      </w:tr>
      <w:tr w:rsidR="00F129FC" w14:paraId="3AA5E3E6" w14:textId="77777777">
        <w:trPr>
          <w:trHeight w:val="378"/>
        </w:trPr>
        <w:tc>
          <w:tcPr>
            <w:tcW w:w="3089" w:type="dxa"/>
          </w:tcPr>
          <w:p w14:paraId="4BBE3489" w14:textId="77777777" w:rsidR="00F129FC" w:rsidRDefault="00000000">
            <w:pPr>
              <w:pStyle w:val="TableParagraph"/>
              <w:ind w:left="10"/>
              <w:jc w:val="center"/>
            </w:pPr>
            <w:r>
              <w:t xml:space="preserve">B </w:t>
            </w:r>
            <w:r>
              <w:rPr>
                <w:spacing w:val="-5"/>
              </w:rPr>
              <w:t>(%)</w:t>
            </w:r>
          </w:p>
        </w:tc>
        <w:tc>
          <w:tcPr>
            <w:tcW w:w="3077" w:type="dxa"/>
          </w:tcPr>
          <w:p w14:paraId="5AF236D9" w14:textId="77777777" w:rsidR="00F129FC" w:rsidRDefault="00000000">
            <w:pPr>
              <w:pStyle w:val="TableParagraph"/>
              <w:ind w:left="11" w:right="2"/>
              <w:jc w:val="center"/>
            </w:pPr>
            <w:r>
              <w:rPr>
                <w:spacing w:val="-2"/>
              </w:rPr>
              <w:t>0.17±0.17</w:t>
            </w:r>
          </w:p>
        </w:tc>
        <w:tc>
          <w:tcPr>
            <w:tcW w:w="3077" w:type="dxa"/>
          </w:tcPr>
          <w:p w14:paraId="192EFCD3" w14:textId="77777777" w:rsidR="00F129FC" w:rsidRDefault="00000000">
            <w:pPr>
              <w:pStyle w:val="TableParagraph"/>
              <w:ind w:left="11"/>
              <w:jc w:val="center"/>
            </w:pPr>
            <w:r>
              <w:rPr>
                <w:spacing w:val="-2"/>
              </w:rPr>
              <w:t>0.2±0.08</w:t>
            </w:r>
          </w:p>
        </w:tc>
      </w:tr>
    </w:tbl>
    <w:p w14:paraId="0924BFB5" w14:textId="77777777" w:rsidR="00F129FC" w:rsidRDefault="00000000">
      <w:pPr>
        <w:pStyle w:val="BodyText"/>
        <w:spacing w:before="19"/>
        <w:ind w:right="0"/>
        <w:jc w:val="left"/>
      </w:pPr>
      <w:r>
        <w:t>*Significant</w:t>
      </w:r>
      <w:r>
        <w:rPr>
          <w:spacing w:val="-5"/>
        </w:rPr>
        <w:t xml:space="preserve"> </w:t>
      </w:r>
      <w:r>
        <w:t>(p</w:t>
      </w:r>
      <w:r>
        <w:rPr>
          <w:spacing w:val="-5"/>
        </w:rPr>
        <w:t xml:space="preserve"> </w:t>
      </w:r>
      <w:r>
        <w:t>&lt;</w:t>
      </w:r>
      <w:r>
        <w:rPr>
          <w:spacing w:val="-7"/>
        </w:rPr>
        <w:t xml:space="preserve"> </w:t>
      </w:r>
      <w:r>
        <w:rPr>
          <w:spacing w:val="-4"/>
        </w:rPr>
        <w:t>0.05)</w:t>
      </w:r>
    </w:p>
    <w:p w14:paraId="61DB2B5D" w14:textId="77777777" w:rsidR="00F129FC" w:rsidRDefault="00F129FC">
      <w:pPr>
        <w:pStyle w:val="BodyText"/>
        <w:spacing w:before="0"/>
        <w:ind w:left="0" w:right="0"/>
        <w:jc w:val="left"/>
      </w:pPr>
    </w:p>
    <w:p w14:paraId="301B79DC" w14:textId="77777777" w:rsidR="00F129FC" w:rsidRDefault="00F129FC">
      <w:pPr>
        <w:pStyle w:val="BodyText"/>
        <w:spacing w:before="0"/>
        <w:ind w:left="0" w:right="0"/>
        <w:jc w:val="left"/>
      </w:pPr>
    </w:p>
    <w:p w14:paraId="291EB60E" w14:textId="77777777" w:rsidR="00F129FC" w:rsidRDefault="00000000">
      <w:pPr>
        <w:pStyle w:val="Heading2"/>
        <w:spacing w:before="0"/>
      </w:pPr>
      <w:r>
        <w:t>Biochemical</w:t>
      </w:r>
      <w:r>
        <w:rPr>
          <w:spacing w:val="-14"/>
        </w:rPr>
        <w:t xml:space="preserve"> </w:t>
      </w:r>
      <w:r>
        <w:rPr>
          <w:spacing w:val="-2"/>
        </w:rPr>
        <w:t>values</w:t>
      </w:r>
    </w:p>
    <w:p w14:paraId="1A3AF55B" w14:textId="77777777" w:rsidR="00F129FC" w:rsidRDefault="00000000">
      <w:pPr>
        <w:pStyle w:val="BodyText"/>
        <w:spacing w:before="260" w:line="360" w:lineRule="auto"/>
        <w:ind w:left="360" w:right="359" w:firstLine="719"/>
      </w:pPr>
      <w:r>
        <w:t>The mean serum biochemistry values of healthy control dogs and the dogs with demodicosis are given in table 2.</w:t>
      </w:r>
    </w:p>
    <w:p w14:paraId="62E3555C" w14:textId="77777777" w:rsidR="00F129FC" w:rsidRDefault="00000000">
      <w:pPr>
        <w:pStyle w:val="BodyText"/>
        <w:spacing w:line="360" w:lineRule="auto"/>
        <w:ind w:firstLine="720"/>
      </w:pPr>
      <w:r>
        <w:t xml:space="preserve">In the present investigation, the </w:t>
      </w:r>
      <w:proofErr w:type="spellStart"/>
      <w:r>
        <w:t>mean±SE</w:t>
      </w:r>
      <w:proofErr w:type="spellEnd"/>
      <w:r>
        <w:t xml:space="preserve"> total serum protein and albumin in dogs with canine demodicosis was significantly (p&gt;0.05) lower when compared to healthy control dog. But the mean globulin was significantly higher in dogs with demodicosis when compared to apparently healthy dog. Significant </w:t>
      </w:r>
      <w:proofErr w:type="spellStart"/>
      <w:r>
        <w:t>hypoprotenemia</w:t>
      </w:r>
      <w:proofErr w:type="spellEnd"/>
      <w:r>
        <w:t xml:space="preserve">, </w:t>
      </w:r>
      <w:proofErr w:type="spellStart"/>
      <w:r>
        <w:t>hypoalbuminaemia</w:t>
      </w:r>
      <w:proofErr w:type="spellEnd"/>
      <w:r>
        <w:t xml:space="preserve"> and </w:t>
      </w:r>
      <w:proofErr w:type="spellStart"/>
      <w:r>
        <w:t>hyperglobulinaemia</w:t>
      </w:r>
      <w:proofErr w:type="spellEnd"/>
      <w:r>
        <w:t xml:space="preserve"> was found similar findings was also noted by previous workers Dadhich and Khanna (2008), Sakina </w:t>
      </w:r>
      <w:r>
        <w:rPr>
          <w:rFonts w:ascii="Arial" w:hAnsi="Arial"/>
          <w:i/>
        </w:rPr>
        <w:t xml:space="preserve">et al. </w:t>
      </w:r>
      <w:r>
        <w:t xml:space="preserve">(2012) and Pradhan </w:t>
      </w:r>
      <w:r>
        <w:rPr>
          <w:rFonts w:ascii="Arial" w:hAnsi="Arial"/>
          <w:i/>
        </w:rPr>
        <w:t>et al.</w:t>
      </w:r>
      <w:r>
        <w:rPr>
          <w:rFonts w:ascii="Arial" w:hAnsi="Arial"/>
          <w:i/>
          <w:spacing w:val="-2"/>
        </w:rPr>
        <w:t xml:space="preserve"> </w:t>
      </w:r>
      <w:r>
        <w:t>(2012).</w:t>
      </w:r>
      <w:r>
        <w:rPr>
          <w:spacing w:val="-10"/>
        </w:rPr>
        <w:t xml:space="preserve"> </w:t>
      </w:r>
      <w:r>
        <w:t>Decreased</w:t>
      </w:r>
      <w:r>
        <w:rPr>
          <w:spacing w:val="-2"/>
        </w:rPr>
        <w:t xml:space="preserve"> </w:t>
      </w:r>
      <w:r>
        <w:t>levels</w:t>
      </w:r>
      <w:r>
        <w:rPr>
          <w:spacing w:val="-3"/>
        </w:rPr>
        <w:t xml:space="preserve"> </w:t>
      </w:r>
      <w:r>
        <w:t>of</w:t>
      </w:r>
      <w:r>
        <w:rPr>
          <w:spacing w:val="-2"/>
        </w:rPr>
        <w:t xml:space="preserve"> </w:t>
      </w:r>
      <w:r>
        <w:t>serum</w:t>
      </w:r>
      <w:r>
        <w:rPr>
          <w:spacing w:val="-1"/>
        </w:rPr>
        <w:t xml:space="preserve"> </w:t>
      </w:r>
      <w:r>
        <w:t>albumin</w:t>
      </w:r>
      <w:r>
        <w:rPr>
          <w:spacing w:val="-2"/>
        </w:rPr>
        <w:t xml:space="preserve"> </w:t>
      </w:r>
      <w:r>
        <w:t>in</w:t>
      </w:r>
      <w:r>
        <w:rPr>
          <w:spacing w:val="-2"/>
        </w:rPr>
        <w:t xml:space="preserve"> </w:t>
      </w:r>
      <w:r>
        <w:t>the</w:t>
      </w:r>
      <w:r>
        <w:rPr>
          <w:spacing w:val="-2"/>
        </w:rPr>
        <w:t xml:space="preserve"> </w:t>
      </w:r>
      <w:r>
        <w:t>present</w:t>
      </w:r>
      <w:r>
        <w:rPr>
          <w:spacing w:val="-2"/>
        </w:rPr>
        <w:t xml:space="preserve"> </w:t>
      </w:r>
      <w:r>
        <w:t>study</w:t>
      </w:r>
      <w:r>
        <w:rPr>
          <w:spacing w:val="-5"/>
        </w:rPr>
        <w:t xml:space="preserve"> </w:t>
      </w:r>
      <w:r>
        <w:t>might</w:t>
      </w:r>
      <w:r>
        <w:rPr>
          <w:spacing w:val="-2"/>
        </w:rPr>
        <w:t xml:space="preserve"> </w:t>
      </w:r>
      <w:r>
        <w:t>be</w:t>
      </w:r>
      <w:r>
        <w:rPr>
          <w:spacing w:val="-4"/>
        </w:rPr>
        <w:t xml:space="preserve"> </w:t>
      </w:r>
      <w:r>
        <w:t>the</w:t>
      </w:r>
      <w:r>
        <w:rPr>
          <w:spacing w:val="-2"/>
        </w:rPr>
        <w:t xml:space="preserve"> </w:t>
      </w:r>
      <w:r>
        <w:t>result</w:t>
      </w:r>
      <w:r>
        <w:rPr>
          <w:spacing w:val="-5"/>
        </w:rPr>
        <w:t xml:space="preserve"> </w:t>
      </w:r>
      <w:r>
        <w:t xml:space="preserve">of excessive breakdown of proteins due to trauma to skin and proliferation of mites. Elevated globulin level might be indicator of immune response following severe mite infestation in canine demodicosis (Sakina </w:t>
      </w:r>
      <w:r>
        <w:rPr>
          <w:rFonts w:ascii="Arial" w:hAnsi="Arial"/>
          <w:i/>
        </w:rPr>
        <w:t>et al</w:t>
      </w:r>
      <w:r>
        <w:t xml:space="preserve">., 2012 and Haleem </w:t>
      </w:r>
      <w:r>
        <w:rPr>
          <w:rFonts w:ascii="Arial" w:hAnsi="Arial"/>
          <w:i/>
        </w:rPr>
        <w:t>et al</w:t>
      </w:r>
      <w:r>
        <w:t>., 2015)</w:t>
      </w:r>
    </w:p>
    <w:p w14:paraId="464E9831" w14:textId="77777777" w:rsidR="00F129FC" w:rsidRDefault="00000000">
      <w:pPr>
        <w:pStyle w:val="BodyText"/>
        <w:spacing w:before="118" w:line="360" w:lineRule="auto"/>
        <w:ind w:left="360" w:firstLine="720"/>
      </w:pPr>
      <w:r>
        <w:t xml:space="preserve">There was no statistically significant (p&gt;0.05) difference found in the BUN and creatinine which was in similar to the findings of Haleem </w:t>
      </w:r>
      <w:r>
        <w:rPr>
          <w:rFonts w:ascii="Arial"/>
          <w:i/>
        </w:rPr>
        <w:t xml:space="preserve">et al. </w:t>
      </w:r>
      <w:r>
        <w:t>(2015).</w:t>
      </w:r>
    </w:p>
    <w:p w14:paraId="50316D9C" w14:textId="77777777" w:rsidR="00F129FC" w:rsidRDefault="00000000">
      <w:pPr>
        <w:pStyle w:val="BodyText"/>
        <w:spacing w:line="360" w:lineRule="auto"/>
        <w:ind w:left="360" w:right="354" w:firstLine="720"/>
      </w:pPr>
      <w:r>
        <w:t>In the present study blood glucose level in demodectic dog was significantly</w:t>
      </w:r>
      <w:r>
        <w:rPr>
          <w:spacing w:val="40"/>
        </w:rPr>
        <w:t xml:space="preserve"> </w:t>
      </w:r>
      <w:r>
        <w:t xml:space="preserve">lower as compare to healthy control dog. Blood glucose was similar to previous finding by Kumar </w:t>
      </w:r>
      <w:r>
        <w:rPr>
          <w:rFonts w:ascii="Arial"/>
          <w:i/>
        </w:rPr>
        <w:t xml:space="preserve">et al. </w:t>
      </w:r>
      <w:r>
        <w:t xml:space="preserve">(2018). </w:t>
      </w:r>
      <w:proofErr w:type="spellStart"/>
      <w:r>
        <w:t>Hypoglycaemia</w:t>
      </w:r>
      <w:proofErr w:type="spellEnd"/>
      <w:r>
        <w:t xml:space="preserve"> might be due to increased need of glucose during inflammatory reactions as suggested by Gupta (2008) and Kumar </w:t>
      </w:r>
      <w:r>
        <w:rPr>
          <w:rFonts w:ascii="Arial"/>
          <w:i/>
        </w:rPr>
        <w:t xml:space="preserve">et al. </w:t>
      </w:r>
      <w:r>
        <w:t>(2018).</w:t>
      </w:r>
    </w:p>
    <w:p w14:paraId="1346E366" w14:textId="77777777" w:rsidR="00F129FC" w:rsidRDefault="00000000">
      <w:pPr>
        <w:pStyle w:val="BodyText"/>
        <w:spacing w:line="360" w:lineRule="auto"/>
        <w:ind w:left="360" w:right="355" w:firstLine="566"/>
      </w:pPr>
      <w:r>
        <w:t xml:space="preserve">The </w:t>
      </w:r>
      <w:proofErr w:type="spellStart"/>
      <w:r>
        <w:t>mean±SE</w:t>
      </w:r>
      <w:proofErr w:type="spellEnd"/>
      <w:r>
        <w:t xml:space="preserve"> values of ALT (U/L) and AST (U/L) values of demodectic dog were significantly higher as compare with healthy control dog. This was in agreement with Arora </w:t>
      </w:r>
      <w:r>
        <w:rPr>
          <w:rFonts w:ascii="Arial" w:hAnsi="Arial"/>
          <w:i/>
        </w:rPr>
        <w:t>et</w:t>
      </w:r>
      <w:r>
        <w:rPr>
          <w:rFonts w:ascii="Arial" w:hAnsi="Arial"/>
          <w:i/>
          <w:spacing w:val="-2"/>
        </w:rPr>
        <w:t xml:space="preserve"> </w:t>
      </w:r>
      <w:r>
        <w:rPr>
          <w:rFonts w:ascii="Arial" w:hAnsi="Arial"/>
          <w:i/>
        </w:rPr>
        <w:t xml:space="preserve">al. </w:t>
      </w:r>
      <w:r>
        <w:t>(2013), Haleem</w:t>
      </w:r>
      <w:r>
        <w:rPr>
          <w:spacing w:val="-1"/>
        </w:rPr>
        <w:t xml:space="preserve"> </w:t>
      </w:r>
      <w:r>
        <w:rPr>
          <w:rFonts w:ascii="Arial" w:hAnsi="Arial"/>
          <w:i/>
        </w:rPr>
        <w:t>et</w:t>
      </w:r>
      <w:r>
        <w:rPr>
          <w:rFonts w:ascii="Arial" w:hAnsi="Arial"/>
          <w:i/>
          <w:spacing w:val="-2"/>
        </w:rPr>
        <w:t xml:space="preserve"> </w:t>
      </w:r>
      <w:r>
        <w:rPr>
          <w:rFonts w:ascii="Arial" w:hAnsi="Arial"/>
          <w:i/>
        </w:rPr>
        <w:t xml:space="preserve">al. </w:t>
      </w:r>
      <w:r>
        <w:t>(2015)</w:t>
      </w:r>
      <w:r>
        <w:rPr>
          <w:spacing w:val="-1"/>
        </w:rPr>
        <w:t xml:space="preserve"> </w:t>
      </w:r>
      <w:r>
        <w:t>and</w:t>
      </w:r>
      <w:r>
        <w:rPr>
          <w:spacing w:val="-2"/>
        </w:rPr>
        <w:t xml:space="preserve"> </w:t>
      </w:r>
      <w:r>
        <w:t>Kumar</w:t>
      </w:r>
      <w:r>
        <w:rPr>
          <w:spacing w:val="-1"/>
        </w:rPr>
        <w:t xml:space="preserve"> </w:t>
      </w:r>
      <w:r>
        <w:rPr>
          <w:rFonts w:ascii="Arial" w:hAnsi="Arial"/>
          <w:i/>
        </w:rPr>
        <w:t>et</w:t>
      </w:r>
      <w:r>
        <w:rPr>
          <w:rFonts w:ascii="Arial" w:hAnsi="Arial"/>
          <w:i/>
          <w:spacing w:val="-2"/>
        </w:rPr>
        <w:t xml:space="preserve"> </w:t>
      </w:r>
      <w:r>
        <w:rPr>
          <w:rFonts w:ascii="Arial" w:hAnsi="Arial"/>
          <w:i/>
        </w:rPr>
        <w:t xml:space="preserve">al. </w:t>
      </w:r>
      <w:r>
        <w:t>(2018).</w:t>
      </w:r>
      <w:r>
        <w:rPr>
          <w:spacing w:val="-2"/>
        </w:rPr>
        <w:t xml:space="preserve"> </w:t>
      </w:r>
      <w:r>
        <w:t xml:space="preserve">The elevation of these parameters could be due to the hepatic damage caused by toxic products from mites (Kaneko </w:t>
      </w:r>
      <w:r>
        <w:rPr>
          <w:rFonts w:ascii="Arial" w:hAnsi="Arial"/>
          <w:i/>
        </w:rPr>
        <w:t xml:space="preserve">et al., </w:t>
      </w:r>
      <w:r>
        <w:t>1997).</w:t>
      </w:r>
    </w:p>
    <w:p w14:paraId="218E7ED9" w14:textId="77777777" w:rsidR="00F129FC" w:rsidRDefault="00F129FC">
      <w:pPr>
        <w:pStyle w:val="BodyText"/>
        <w:spacing w:line="360" w:lineRule="auto"/>
        <w:sectPr w:rsidR="00F129FC">
          <w:type w:val="continuous"/>
          <w:pgSz w:w="12240" w:h="15840"/>
          <w:pgMar w:top="1420" w:right="1080" w:bottom="280" w:left="1080" w:header="720" w:footer="720" w:gutter="0"/>
          <w:cols w:space="720"/>
        </w:sectPr>
      </w:pPr>
    </w:p>
    <w:p w14:paraId="72A5068C" w14:textId="77777777" w:rsidR="00F129FC" w:rsidRDefault="00000000">
      <w:pPr>
        <w:pStyle w:val="BodyText"/>
        <w:tabs>
          <w:tab w:val="left" w:pos="1439"/>
        </w:tabs>
        <w:spacing w:before="78" w:after="2" w:line="360" w:lineRule="auto"/>
        <w:ind w:left="1439" w:right="358" w:hanging="1080"/>
        <w:jc w:val="left"/>
      </w:pPr>
      <w:r>
        <w:rPr>
          <w:rFonts w:ascii="Arial" w:hAnsi="Arial"/>
          <w:b/>
        </w:rPr>
        <w:lastRenderedPageBreak/>
        <w:t>Table 2</w:t>
      </w:r>
      <w:r>
        <w:rPr>
          <w:rFonts w:ascii="Arial" w:hAnsi="Arial"/>
          <w:b/>
        </w:rPr>
        <w:tab/>
      </w:r>
      <w:proofErr w:type="spellStart"/>
      <w:r>
        <w:t>Mean±S.E</w:t>
      </w:r>
      <w:proofErr w:type="spellEnd"/>
      <w:r>
        <w:rPr>
          <w:spacing w:val="40"/>
        </w:rPr>
        <w:t xml:space="preserve"> </w:t>
      </w:r>
      <w:r>
        <w:t>serum</w:t>
      </w:r>
      <w:r>
        <w:rPr>
          <w:spacing w:val="40"/>
        </w:rPr>
        <w:t xml:space="preserve"> </w:t>
      </w:r>
      <w:r>
        <w:t>biochemical</w:t>
      </w:r>
      <w:r>
        <w:rPr>
          <w:spacing w:val="40"/>
        </w:rPr>
        <w:t xml:space="preserve"> </w:t>
      </w:r>
      <w:r>
        <w:t>values</w:t>
      </w:r>
      <w:r>
        <w:rPr>
          <w:spacing w:val="40"/>
        </w:rPr>
        <w:t xml:space="preserve"> </w:t>
      </w:r>
      <w:r>
        <w:t>of</w:t>
      </w:r>
      <w:r>
        <w:rPr>
          <w:spacing w:val="40"/>
        </w:rPr>
        <w:t xml:space="preserve"> </w:t>
      </w:r>
      <w:r>
        <w:t>healthy</w:t>
      </w:r>
      <w:r>
        <w:rPr>
          <w:spacing w:val="40"/>
        </w:rPr>
        <w:t xml:space="preserve"> </w:t>
      </w:r>
      <w:r>
        <w:t>and</w:t>
      </w:r>
      <w:r>
        <w:rPr>
          <w:spacing w:val="40"/>
        </w:rPr>
        <w:t xml:space="preserve"> </w:t>
      </w:r>
      <w:r>
        <w:t>canine</w:t>
      </w:r>
      <w:r>
        <w:rPr>
          <w:spacing w:val="40"/>
        </w:rPr>
        <w:t xml:space="preserve"> </w:t>
      </w:r>
      <w:r>
        <w:t>demodicosis</w:t>
      </w:r>
      <w:r>
        <w:rPr>
          <w:spacing w:val="40"/>
        </w:rPr>
        <w:t xml:space="preserve"> </w:t>
      </w:r>
      <w:r>
        <w:t>positive dogs</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086"/>
        <w:gridCol w:w="3074"/>
        <w:gridCol w:w="3081"/>
      </w:tblGrid>
      <w:tr w:rsidR="00F129FC" w14:paraId="4DD640C8" w14:textId="77777777">
        <w:trPr>
          <w:trHeight w:val="414"/>
        </w:trPr>
        <w:tc>
          <w:tcPr>
            <w:tcW w:w="3086" w:type="dxa"/>
          </w:tcPr>
          <w:p w14:paraId="3FF92025" w14:textId="77777777" w:rsidR="00F129FC" w:rsidRDefault="00000000">
            <w:pPr>
              <w:pStyle w:val="TableParagraph"/>
              <w:spacing w:line="248" w:lineRule="exact"/>
              <w:rPr>
                <w:rFonts w:ascii="Arial"/>
                <w:b/>
              </w:rPr>
            </w:pPr>
            <w:r>
              <w:rPr>
                <w:rFonts w:ascii="Arial"/>
                <w:b/>
                <w:spacing w:val="-2"/>
              </w:rPr>
              <w:t>Parameters</w:t>
            </w:r>
          </w:p>
        </w:tc>
        <w:tc>
          <w:tcPr>
            <w:tcW w:w="3074" w:type="dxa"/>
          </w:tcPr>
          <w:p w14:paraId="53530BE0" w14:textId="77777777" w:rsidR="00F129FC" w:rsidRDefault="00000000">
            <w:pPr>
              <w:pStyle w:val="TableParagraph"/>
              <w:spacing w:line="248" w:lineRule="exact"/>
              <w:ind w:left="108"/>
              <w:rPr>
                <w:rFonts w:ascii="Arial"/>
                <w:b/>
              </w:rPr>
            </w:pPr>
            <w:r>
              <w:rPr>
                <w:rFonts w:ascii="Arial"/>
                <w:b/>
              </w:rPr>
              <w:t>Healthy</w:t>
            </w:r>
            <w:r>
              <w:rPr>
                <w:rFonts w:ascii="Arial"/>
                <w:b/>
                <w:spacing w:val="-8"/>
              </w:rPr>
              <w:t xml:space="preserve"> </w:t>
            </w:r>
            <w:r>
              <w:rPr>
                <w:rFonts w:ascii="Arial"/>
                <w:b/>
                <w:spacing w:val="-4"/>
              </w:rPr>
              <w:t>(n=6)</w:t>
            </w:r>
          </w:p>
        </w:tc>
        <w:tc>
          <w:tcPr>
            <w:tcW w:w="3081" w:type="dxa"/>
          </w:tcPr>
          <w:p w14:paraId="33FB6173" w14:textId="77777777" w:rsidR="00F129FC" w:rsidRDefault="00000000">
            <w:pPr>
              <w:pStyle w:val="TableParagraph"/>
              <w:spacing w:line="274" w:lineRule="exact"/>
              <w:ind w:left="108"/>
              <w:rPr>
                <w:rFonts w:ascii="Arial"/>
                <w:b/>
              </w:rPr>
            </w:pPr>
            <w:r>
              <w:rPr>
                <w:rFonts w:ascii="Arial"/>
                <w:b/>
                <w:sz w:val="24"/>
              </w:rPr>
              <w:t>Positive</w:t>
            </w:r>
            <w:r>
              <w:rPr>
                <w:rFonts w:ascii="Arial"/>
                <w:b/>
                <w:spacing w:val="-12"/>
                <w:sz w:val="24"/>
              </w:rPr>
              <w:t xml:space="preserve"> </w:t>
            </w:r>
            <w:r>
              <w:rPr>
                <w:rFonts w:ascii="Arial"/>
                <w:b/>
              </w:rPr>
              <w:t>dog</w:t>
            </w:r>
            <w:r>
              <w:rPr>
                <w:rFonts w:ascii="Arial"/>
                <w:b/>
                <w:spacing w:val="-6"/>
              </w:rPr>
              <w:t xml:space="preserve"> </w:t>
            </w:r>
            <w:r>
              <w:rPr>
                <w:rFonts w:ascii="Arial"/>
                <w:b/>
                <w:spacing w:val="-2"/>
              </w:rPr>
              <w:t>(n=25)</w:t>
            </w:r>
          </w:p>
        </w:tc>
      </w:tr>
      <w:tr w:rsidR="00F129FC" w14:paraId="30C319DF" w14:textId="77777777">
        <w:trPr>
          <w:trHeight w:val="378"/>
        </w:trPr>
        <w:tc>
          <w:tcPr>
            <w:tcW w:w="3086" w:type="dxa"/>
          </w:tcPr>
          <w:p w14:paraId="2F8027DA" w14:textId="77777777" w:rsidR="00F129FC" w:rsidRDefault="00000000">
            <w:pPr>
              <w:pStyle w:val="TableParagraph"/>
            </w:pPr>
            <w:r>
              <w:t>Total</w:t>
            </w:r>
            <w:r>
              <w:rPr>
                <w:spacing w:val="-3"/>
              </w:rPr>
              <w:t xml:space="preserve"> </w:t>
            </w:r>
            <w:r>
              <w:t>protein</w:t>
            </w:r>
            <w:r>
              <w:rPr>
                <w:spacing w:val="-1"/>
              </w:rPr>
              <w:t xml:space="preserve"> </w:t>
            </w:r>
            <w:r>
              <w:rPr>
                <w:spacing w:val="-2"/>
              </w:rPr>
              <w:t>(g/dl)</w:t>
            </w:r>
          </w:p>
        </w:tc>
        <w:tc>
          <w:tcPr>
            <w:tcW w:w="3074" w:type="dxa"/>
          </w:tcPr>
          <w:p w14:paraId="62859EF3" w14:textId="77777777" w:rsidR="00F129FC" w:rsidRDefault="00000000">
            <w:pPr>
              <w:pStyle w:val="TableParagraph"/>
              <w:ind w:left="108"/>
            </w:pPr>
            <w:r>
              <w:rPr>
                <w:spacing w:val="-2"/>
              </w:rPr>
              <w:t>6.63±0.16</w:t>
            </w:r>
          </w:p>
        </w:tc>
        <w:tc>
          <w:tcPr>
            <w:tcW w:w="3081" w:type="dxa"/>
          </w:tcPr>
          <w:p w14:paraId="3B2FB86E" w14:textId="77777777" w:rsidR="00F129FC" w:rsidRDefault="00000000">
            <w:pPr>
              <w:pStyle w:val="TableParagraph"/>
              <w:ind w:left="108"/>
            </w:pPr>
            <w:r>
              <w:rPr>
                <w:spacing w:val="-2"/>
              </w:rPr>
              <w:t>6.03±0.1*</w:t>
            </w:r>
          </w:p>
        </w:tc>
      </w:tr>
      <w:tr w:rsidR="00F129FC" w14:paraId="6C1A65E8" w14:textId="77777777">
        <w:trPr>
          <w:trHeight w:val="378"/>
        </w:trPr>
        <w:tc>
          <w:tcPr>
            <w:tcW w:w="3086" w:type="dxa"/>
          </w:tcPr>
          <w:p w14:paraId="47C4458C" w14:textId="77777777" w:rsidR="00F129FC" w:rsidRDefault="00000000">
            <w:pPr>
              <w:pStyle w:val="TableParagraph"/>
            </w:pPr>
            <w:r>
              <w:t>Albumin</w:t>
            </w:r>
            <w:r>
              <w:rPr>
                <w:spacing w:val="-3"/>
              </w:rPr>
              <w:t xml:space="preserve"> </w:t>
            </w:r>
            <w:r>
              <w:rPr>
                <w:spacing w:val="-2"/>
              </w:rPr>
              <w:t>(g/dl)</w:t>
            </w:r>
          </w:p>
        </w:tc>
        <w:tc>
          <w:tcPr>
            <w:tcW w:w="3074" w:type="dxa"/>
          </w:tcPr>
          <w:p w14:paraId="4FACD4EA" w14:textId="77777777" w:rsidR="00F129FC" w:rsidRDefault="00000000">
            <w:pPr>
              <w:pStyle w:val="TableParagraph"/>
              <w:ind w:left="108"/>
            </w:pPr>
            <w:r>
              <w:rPr>
                <w:spacing w:val="-2"/>
              </w:rPr>
              <w:t>3.17±0.13</w:t>
            </w:r>
          </w:p>
        </w:tc>
        <w:tc>
          <w:tcPr>
            <w:tcW w:w="3081" w:type="dxa"/>
          </w:tcPr>
          <w:p w14:paraId="3470F2AB" w14:textId="77777777" w:rsidR="00F129FC" w:rsidRDefault="00000000">
            <w:pPr>
              <w:pStyle w:val="TableParagraph"/>
              <w:ind w:left="108"/>
            </w:pPr>
            <w:r>
              <w:rPr>
                <w:spacing w:val="-2"/>
              </w:rPr>
              <w:t>2.02±0.0+06*</w:t>
            </w:r>
          </w:p>
        </w:tc>
      </w:tr>
      <w:tr w:rsidR="00F129FC" w14:paraId="362DC421" w14:textId="77777777">
        <w:trPr>
          <w:trHeight w:val="378"/>
        </w:trPr>
        <w:tc>
          <w:tcPr>
            <w:tcW w:w="3086" w:type="dxa"/>
          </w:tcPr>
          <w:p w14:paraId="4BC462AD" w14:textId="77777777" w:rsidR="00F129FC" w:rsidRDefault="00000000">
            <w:pPr>
              <w:pStyle w:val="TableParagraph"/>
            </w:pPr>
            <w:r>
              <w:t>Globulin</w:t>
            </w:r>
            <w:r>
              <w:rPr>
                <w:spacing w:val="-4"/>
              </w:rPr>
              <w:t xml:space="preserve"> </w:t>
            </w:r>
            <w:r>
              <w:rPr>
                <w:spacing w:val="-2"/>
              </w:rPr>
              <w:t>(g/dl)</w:t>
            </w:r>
          </w:p>
        </w:tc>
        <w:tc>
          <w:tcPr>
            <w:tcW w:w="3074" w:type="dxa"/>
          </w:tcPr>
          <w:p w14:paraId="480A682E" w14:textId="77777777" w:rsidR="00F129FC" w:rsidRDefault="00000000">
            <w:pPr>
              <w:pStyle w:val="TableParagraph"/>
              <w:ind w:left="108"/>
            </w:pPr>
            <w:r>
              <w:rPr>
                <w:spacing w:val="-2"/>
              </w:rPr>
              <w:t>3.47±0.09</w:t>
            </w:r>
          </w:p>
        </w:tc>
        <w:tc>
          <w:tcPr>
            <w:tcW w:w="3081" w:type="dxa"/>
          </w:tcPr>
          <w:p w14:paraId="524B84AD" w14:textId="77777777" w:rsidR="00F129FC" w:rsidRDefault="00000000">
            <w:pPr>
              <w:pStyle w:val="TableParagraph"/>
              <w:ind w:left="108"/>
            </w:pPr>
            <w:r>
              <w:rPr>
                <w:spacing w:val="-2"/>
              </w:rPr>
              <w:t>4.01±0.07*</w:t>
            </w:r>
          </w:p>
        </w:tc>
      </w:tr>
      <w:tr w:rsidR="00F129FC" w14:paraId="32F088E1" w14:textId="77777777">
        <w:trPr>
          <w:trHeight w:val="381"/>
        </w:trPr>
        <w:tc>
          <w:tcPr>
            <w:tcW w:w="3086" w:type="dxa"/>
          </w:tcPr>
          <w:p w14:paraId="14C9F351" w14:textId="77777777" w:rsidR="00F129FC" w:rsidRDefault="00000000">
            <w:pPr>
              <w:pStyle w:val="TableParagraph"/>
              <w:spacing w:line="240" w:lineRule="auto"/>
            </w:pPr>
            <w:r>
              <w:t>A:G</w:t>
            </w:r>
            <w:r>
              <w:rPr>
                <w:spacing w:val="-2"/>
              </w:rPr>
              <w:t xml:space="preserve"> ratio</w:t>
            </w:r>
          </w:p>
        </w:tc>
        <w:tc>
          <w:tcPr>
            <w:tcW w:w="3074" w:type="dxa"/>
          </w:tcPr>
          <w:p w14:paraId="22882F49" w14:textId="77777777" w:rsidR="00F129FC" w:rsidRDefault="00000000">
            <w:pPr>
              <w:pStyle w:val="TableParagraph"/>
              <w:spacing w:line="240" w:lineRule="auto"/>
              <w:ind w:left="108"/>
            </w:pPr>
            <w:r>
              <w:rPr>
                <w:spacing w:val="-2"/>
              </w:rPr>
              <w:t>0.91±0.04</w:t>
            </w:r>
          </w:p>
        </w:tc>
        <w:tc>
          <w:tcPr>
            <w:tcW w:w="3081" w:type="dxa"/>
          </w:tcPr>
          <w:p w14:paraId="5D8ADA96" w14:textId="77777777" w:rsidR="00F129FC" w:rsidRDefault="00000000">
            <w:pPr>
              <w:pStyle w:val="TableParagraph"/>
              <w:spacing w:line="240" w:lineRule="auto"/>
              <w:ind w:left="108"/>
            </w:pPr>
            <w:r>
              <w:rPr>
                <w:spacing w:val="-2"/>
              </w:rPr>
              <w:t>0.51±0.02*</w:t>
            </w:r>
          </w:p>
        </w:tc>
      </w:tr>
      <w:tr w:rsidR="00F129FC" w14:paraId="4B3AC7CA" w14:textId="77777777">
        <w:trPr>
          <w:trHeight w:val="378"/>
        </w:trPr>
        <w:tc>
          <w:tcPr>
            <w:tcW w:w="3086" w:type="dxa"/>
          </w:tcPr>
          <w:p w14:paraId="50BFF827" w14:textId="77777777" w:rsidR="00F129FC" w:rsidRDefault="00000000">
            <w:pPr>
              <w:pStyle w:val="TableParagraph"/>
            </w:pPr>
            <w:r>
              <w:t>Glucose</w:t>
            </w:r>
            <w:r>
              <w:rPr>
                <w:spacing w:val="-4"/>
              </w:rPr>
              <w:t xml:space="preserve"> </w:t>
            </w:r>
            <w:r>
              <w:rPr>
                <w:spacing w:val="-2"/>
              </w:rPr>
              <w:t>(mg/dl)</w:t>
            </w:r>
          </w:p>
        </w:tc>
        <w:tc>
          <w:tcPr>
            <w:tcW w:w="3074" w:type="dxa"/>
          </w:tcPr>
          <w:p w14:paraId="6F9FD6E4" w14:textId="77777777" w:rsidR="00F129FC" w:rsidRDefault="00000000">
            <w:pPr>
              <w:pStyle w:val="TableParagraph"/>
              <w:ind w:left="108"/>
            </w:pPr>
            <w:r>
              <w:rPr>
                <w:spacing w:val="-2"/>
              </w:rPr>
              <w:t>98.33±2.03</w:t>
            </w:r>
          </w:p>
        </w:tc>
        <w:tc>
          <w:tcPr>
            <w:tcW w:w="3081" w:type="dxa"/>
          </w:tcPr>
          <w:p w14:paraId="6203EA27" w14:textId="77777777" w:rsidR="00F129FC" w:rsidRDefault="00000000">
            <w:pPr>
              <w:pStyle w:val="TableParagraph"/>
              <w:ind w:left="108"/>
            </w:pPr>
            <w:r>
              <w:rPr>
                <w:spacing w:val="-2"/>
              </w:rPr>
              <w:t>83.2±0.93*</w:t>
            </w:r>
          </w:p>
        </w:tc>
      </w:tr>
      <w:tr w:rsidR="00F129FC" w14:paraId="30CC2BBF" w14:textId="77777777">
        <w:trPr>
          <w:trHeight w:val="378"/>
        </w:trPr>
        <w:tc>
          <w:tcPr>
            <w:tcW w:w="3086" w:type="dxa"/>
          </w:tcPr>
          <w:p w14:paraId="290F6042" w14:textId="77777777" w:rsidR="00F129FC" w:rsidRDefault="00000000">
            <w:pPr>
              <w:pStyle w:val="TableParagraph"/>
            </w:pPr>
            <w:r>
              <w:t>ALT/SGPT</w:t>
            </w:r>
            <w:r>
              <w:rPr>
                <w:spacing w:val="59"/>
              </w:rPr>
              <w:t xml:space="preserve"> </w:t>
            </w:r>
            <w:r>
              <w:rPr>
                <w:spacing w:val="-5"/>
              </w:rPr>
              <w:t>U/L</w:t>
            </w:r>
          </w:p>
        </w:tc>
        <w:tc>
          <w:tcPr>
            <w:tcW w:w="3074" w:type="dxa"/>
          </w:tcPr>
          <w:p w14:paraId="4DEC8F94" w14:textId="77777777" w:rsidR="00F129FC" w:rsidRDefault="00000000">
            <w:pPr>
              <w:pStyle w:val="TableParagraph"/>
              <w:ind w:left="108"/>
            </w:pPr>
            <w:r>
              <w:rPr>
                <w:spacing w:val="-2"/>
              </w:rPr>
              <w:t>20.67±0.49</w:t>
            </w:r>
          </w:p>
        </w:tc>
        <w:tc>
          <w:tcPr>
            <w:tcW w:w="3081" w:type="dxa"/>
          </w:tcPr>
          <w:p w14:paraId="074D052C" w14:textId="77777777" w:rsidR="00F129FC" w:rsidRDefault="00000000">
            <w:pPr>
              <w:pStyle w:val="TableParagraph"/>
              <w:ind w:left="108"/>
            </w:pPr>
            <w:r>
              <w:rPr>
                <w:spacing w:val="-2"/>
              </w:rPr>
              <w:t>26.72±0.51*</w:t>
            </w:r>
          </w:p>
        </w:tc>
      </w:tr>
      <w:tr w:rsidR="00F129FC" w14:paraId="3856A44F" w14:textId="77777777">
        <w:trPr>
          <w:trHeight w:val="381"/>
        </w:trPr>
        <w:tc>
          <w:tcPr>
            <w:tcW w:w="3086" w:type="dxa"/>
          </w:tcPr>
          <w:p w14:paraId="23B71229" w14:textId="77777777" w:rsidR="00F129FC" w:rsidRDefault="00000000">
            <w:pPr>
              <w:pStyle w:val="TableParagraph"/>
            </w:pPr>
            <w:r>
              <w:t>AST/SGOT</w:t>
            </w:r>
            <w:r>
              <w:rPr>
                <w:spacing w:val="57"/>
              </w:rPr>
              <w:t xml:space="preserve"> </w:t>
            </w:r>
            <w:r>
              <w:rPr>
                <w:spacing w:val="-5"/>
              </w:rPr>
              <w:t>U/L</w:t>
            </w:r>
          </w:p>
        </w:tc>
        <w:tc>
          <w:tcPr>
            <w:tcW w:w="3074" w:type="dxa"/>
          </w:tcPr>
          <w:p w14:paraId="41406538" w14:textId="77777777" w:rsidR="00F129FC" w:rsidRDefault="00000000">
            <w:pPr>
              <w:pStyle w:val="TableParagraph"/>
              <w:ind w:left="108"/>
            </w:pPr>
            <w:r>
              <w:rPr>
                <w:spacing w:val="-2"/>
              </w:rPr>
              <w:t>23.5±0.43</w:t>
            </w:r>
          </w:p>
        </w:tc>
        <w:tc>
          <w:tcPr>
            <w:tcW w:w="3081" w:type="dxa"/>
          </w:tcPr>
          <w:p w14:paraId="5E77E345" w14:textId="77777777" w:rsidR="00F129FC" w:rsidRDefault="00000000">
            <w:pPr>
              <w:pStyle w:val="TableParagraph"/>
              <w:ind w:left="108"/>
            </w:pPr>
            <w:r>
              <w:rPr>
                <w:spacing w:val="-2"/>
              </w:rPr>
              <w:t>29.64±0.40*</w:t>
            </w:r>
          </w:p>
        </w:tc>
      </w:tr>
      <w:tr w:rsidR="00F129FC" w14:paraId="6F7C3943" w14:textId="77777777">
        <w:trPr>
          <w:trHeight w:val="378"/>
        </w:trPr>
        <w:tc>
          <w:tcPr>
            <w:tcW w:w="3086" w:type="dxa"/>
          </w:tcPr>
          <w:p w14:paraId="6EEA4728" w14:textId="77777777" w:rsidR="00F129FC" w:rsidRDefault="00000000">
            <w:pPr>
              <w:pStyle w:val="TableParagraph"/>
            </w:pPr>
            <w:r>
              <w:t>BUN</w:t>
            </w:r>
            <w:r>
              <w:rPr>
                <w:spacing w:val="60"/>
              </w:rPr>
              <w:t xml:space="preserve"> </w:t>
            </w:r>
            <w:r>
              <w:rPr>
                <w:spacing w:val="-2"/>
              </w:rPr>
              <w:t>(mg/dl)</w:t>
            </w:r>
          </w:p>
        </w:tc>
        <w:tc>
          <w:tcPr>
            <w:tcW w:w="3074" w:type="dxa"/>
          </w:tcPr>
          <w:p w14:paraId="2CB8CF48" w14:textId="77777777" w:rsidR="00F129FC" w:rsidRDefault="00000000">
            <w:pPr>
              <w:pStyle w:val="TableParagraph"/>
              <w:ind w:left="108"/>
            </w:pPr>
            <w:r>
              <w:rPr>
                <w:spacing w:val="-2"/>
              </w:rPr>
              <w:t>12.5±0.56</w:t>
            </w:r>
          </w:p>
        </w:tc>
        <w:tc>
          <w:tcPr>
            <w:tcW w:w="3081" w:type="dxa"/>
          </w:tcPr>
          <w:p w14:paraId="48F4B979" w14:textId="77777777" w:rsidR="00F129FC" w:rsidRDefault="00000000">
            <w:pPr>
              <w:pStyle w:val="TableParagraph"/>
              <w:ind w:left="108"/>
            </w:pPr>
            <w:r>
              <w:rPr>
                <w:spacing w:val="-2"/>
              </w:rPr>
              <w:t>13.84±0.29</w:t>
            </w:r>
          </w:p>
        </w:tc>
      </w:tr>
      <w:tr w:rsidR="00F129FC" w14:paraId="171FB3D6" w14:textId="77777777">
        <w:trPr>
          <w:trHeight w:val="393"/>
        </w:trPr>
        <w:tc>
          <w:tcPr>
            <w:tcW w:w="3086" w:type="dxa"/>
          </w:tcPr>
          <w:p w14:paraId="0BADA52C" w14:textId="77777777" w:rsidR="00F129FC" w:rsidRDefault="00000000">
            <w:pPr>
              <w:pStyle w:val="TableParagraph"/>
            </w:pPr>
            <w:r>
              <w:t>Creatinine</w:t>
            </w:r>
            <w:r>
              <w:rPr>
                <w:spacing w:val="56"/>
              </w:rPr>
              <w:t xml:space="preserve"> </w:t>
            </w:r>
            <w:r>
              <w:rPr>
                <w:spacing w:val="-2"/>
              </w:rPr>
              <w:t>(mg/dl)</w:t>
            </w:r>
          </w:p>
        </w:tc>
        <w:tc>
          <w:tcPr>
            <w:tcW w:w="3074" w:type="dxa"/>
          </w:tcPr>
          <w:p w14:paraId="1FA636C5" w14:textId="77777777" w:rsidR="00F129FC" w:rsidRDefault="00000000">
            <w:pPr>
              <w:pStyle w:val="TableParagraph"/>
              <w:ind w:left="108"/>
            </w:pPr>
            <w:r>
              <w:rPr>
                <w:spacing w:val="-2"/>
              </w:rPr>
              <w:t>0.85±0.08</w:t>
            </w:r>
          </w:p>
        </w:tc>
        <w:tc>
          <w:tcPr>
            <w:tcW w:w="3081" w:type="dxa"/>
          </w:tcPr>
          <w:p w14:paraId="468FD65E" w14:textId="77777777" w:rsidR="00F129FC" w:rsidRDefault="00000000">
            <w:pPr>
              <w:pStyle w:val="TableParagraph"/>
              <w:ind w:left="108"/>
            </w:pPr>
            <w:r>
              <w:rPr>
                <w:spacing w:val="-2"/>
              </w:rPr>
              <w:t>1.19±0.04</w:t>
            </w:r>
          </w:p>
        </w:tc>
      </w:tr>
    </w:tbl>
    <w:p w14:paraId="3642CA7F" w14:textId="77777777" w:rsidR="00F129FC" w:rsidRDefault="00000000">
      <w:pPr>
        <w:pStyle w:val="BodyText"/>
        <w:spacing w:before="4"/>
        <w:ind w:right="0"/>
        <w:jc w:val="left"/>
      </w:pPr>
      <w:r>
        <w:t>*Significant</w:t>
      </w:r>
      <w:r>
        <w:rPr>
          <w:spacing w:val="-5"/>
        </w:rPr>
        <w:t xml:space="preserve"> </w:t>
      </w:r>
      <w:r>
        <w:t>(p</w:t>
      </w:r>
      <w:r>
        <w:rPr>
          <w:spacing w:val="-5"/>
        </w:rPr>
        <w:t xml:space="preserve"> </w:t>
      </w:r>
      <w:r>
        <w:t>&lt;</w:t>
      </w:r>
      <w:r>
        <w:rPr>
          <w:spacing w:val="-7"/>
        </w:rPr>
        <w:t xml:space="preserve"> </w:t>
      </w:r>
      <w:r>
        <w:rPr>
          <w:spacing w:val="-4"/>
        </w:rPr>
        <w:t>0.05)</w:t>
      </w:r>
    </w:p>
    <w:p w14:paraId="3B5F34FE" w14:textId="77777777" w:rsidR="00F129FC" w:rsidRDefault="00F129FC">
      <w:pPr>
        <w:pStyle w:val="BodyText"/>
        <w:spacing w:before="275"/>
        <w:ind w:left="0" w:right="0"/>
        <w:jc w:val="left"/>
      </w:pPr>
    </w:p>
    <w:p w14:paraId="4E80B95B" w14:textId="77777777" w:rsidR="00F129FC" w:rsidRDefault="00000000">
      <w:pPr>
        <w:pStyle w:val="Heading2"/>
      </w:pPr>
      <w:r>
        <w:t>Mineral</w:t>
      </w:r>
      <w:r>
        <w:rPr>
          <w:spacing w:val="-7"/>
        </w:rPr>
        <w:t xml:space="preserve"> </w:t>
      </w:r>
      <w:r>
        <w:rPr>
          <w:spacing w:val="-2"/>
        </w:rPr>
        <w:t>Estimation</w:t>
      </w:r>
    </w:p>
    <w:p w14:paraId="3B53C408" w14:textId="77777777" w:rsidR="00F129FC" w:rsidRDefault="00000000">
      <w:pPr>
        <w:pStyle w:val="BodyText"/>
        <w:spacing w:before="139" w:line="360" w:lineRule="auto"/>
        <w:ind w:right="355" w:firstLine="720"/>
      </w:pPr>
      <w:r>
        <w:t xml:space="preserve">In the present investigation the </w:t>
      </w:r>
      <w:proofErr w:type="spellStart"/>
      <w:r>
        <w:t>mean±SE</w:t>
      </w:r>
      <w:proofErr w:type="spellEnd"/>
      <w:r>
        <w:t xml:space="preserve"> values of serum zinc, copper and iron concentration significantly low in canine demodicosis affected dog (Table3). The levels of serum zinc and copper concentrations are in agreement with </w:t>
      </w:r>
      <w:proofErr w:type="spellStart"/>
      <w:r>
        <w:t>Dimri</w:t>
      </w:r>
      <w:proofErr w:type="spellEnd"/>
      <w:r>
        <w:t xml:space="preserve"> </w:t>
      </w:r>
      <w:r>
        <w:rPr>
          <w:rFonts w:ascii="Arial" w:hAnsi="Arial"/>
          <w:i/>
        </w:rPr>
        <w:t xml:space="preserve">et al. </w:t>
      </w:r>
      <w:r>
        <w:t xml:space="preserve">(2008) who reported that blood zinc and copper levels in dogs with canine demodicosis were significantly (P &lt; 0.01) lower than healthy control and similarly Beigh </w:t>
      </w:r>
      <w:r>
        <w:rPr>
          <w:rFonts w:ascii="Arial" w:hAnsi="Arial"/>
          <w:i/>
        </w:rPr>
        <w:t>et al</w:t>
      </w:r>
      <w:r>
        <w:t>. (2013) observed that in comparison to healthy</w:t>
      </w:r>
      <w:r>
        <w:rPr>
          <w:spacing w:val="-3"/>
        </w:rPr>
        <w:t xml:space="preserve"> </w:t>
      </w:r>
      <w:r>
        <w:t>control, zinc and copper</w:t>
      </w:r>
      <w:r>
        <w:rPr>
          <w:spacing w:val="-1"/>
        </w:rPr>
        <w:t xml:space="preserve"> </w:t>
      </w:r>
      <w:r>
        <w:t xml:space="preserve">levels were significantly (P &lt; 0.01) lower in dogs with generalized </w:t>
      </w:r>
      <w:proofErr w:type="spellStart"/>
      <w:r>
        <w:t>demodecosis</w:t>
      </w:r>
      <w:proofErr w:type="spellEnd"/>
      <w:r>
        <w:t>.</w:t>
      </w:r>
    </w:p>
    <w:p w14:paraId="179436EF" w14:textId="77777777" w:rsidR="00F129FC" w:rsidRDefault="00000000">
      <w:pPr>
        <w:pStyle w:val="BodyText"/>
        <w:spacing w:before="0" w:line="360" w:lineRule="auto"/>
        <w:ind w:left="360" w:firstLine="720"/>
      </w:pPr>
      <w:r>
        <w:t xml:space="preserve">Arora </w:t>
      </w:r>
      <w:r>
        <w:rPr>
          <w:rFonts w:ascii="Arial"/>
          <w:i/>
        </w:rPr>
        <w:t>et al</w:t>
      </w:r>
      <w:r>
        <w:t xml:space="preserve">. (2013) and Jyotsna </w:t>
      </w:r>
      <w:r>
        <w:rPr>
          <w:rFonts w:ascii="Arial"/>
          <w:i/>
        </w:rPr>
        <w:t>et al</w:t>
      </w:r>
      <w:r>
        <w:t>. (2005) reported decreased serum iron</w:t>
      </w:r>
      <w:r>
        <w:rPr>
          <w:spacing w:val="40"/>
        </w:rPr>
        <w:t xml:space="preserve"> </w:t>
      </w:r>
      <w:r>
        <w:t>levels in canine demodicosis affected dogs. According to Klassing, 1998 during inflammation interleukins are released from activated phagocytes that lower zinc concentration, resulting from increased synthesis of metallothionein in liver. Metallothionein binds 7g atoms of Zn/mol and is an efficient mechanism for removing zinc</w:t>
      </w:r>
      <w:r>
        <w:rPr>
          <w:spacing w:val="-2"/>
        </w:rPr>
        <w:t xml:space="preserve"> </w:t>
      </w:r>
      <w:r>
        <w:t>from circulation.</w:t>
      </w:r>
      <w:r>
        <w:rPr>
          <w:spacing w:val="-1"/>
        </w:rPr>
        <w:t xml:space="preserve"> </w:t>
      </w:r>
      <w:r>
        <w:t>As</w:t>
      </w:r>
      <w:r>
        <w:rPr>
          <w:spacing w:val="-2"/>
        </w:rPr>
        <w:t xml:space="preserve"> </w:t>
      </w:r>
      <w:r>
        <w:t>reported</w:t>
      </w:r>
      <w:r>
        <w:rPr>
          <w:spacing w:val="-1"/>
        </w:rPr>
        <w:t xml:space="preserve"> </w:t>
      </w:r>
      <w:r>
        <w:t>by</w:t>
      </w:r>
      <w:r>
        <w:rPr>
          <w:spacing w:val="-4"/>
        </w:rPr>
        <w:t xml:space="preserve"> </w:t>
      </w:r>
      <w:r>
        <w:t>Nath</w:t>
      </w:r>
      <w:r>
        <w:rPr>
          <w:spacing w:val="-1"/>
        </w:rPr>
        <w:t xml:space="preserve"> </w:t>
      </w:r>
      <w:r>
        <w:rPr>
          <w:rFonts w:ascii="Arial"/>
          <w:i/>
        </w:rPr>
        <w:t>et</w:t>
      </w:r>
      <w:r>
        <w:rPr>
          <w:rFonts w:ascii="Arial"/>
          <w:i/>
          <w:spacing w:val="-1"/>
        </w:rPr>
        <w:t xml:space="preserve"> </w:t>
      </w:r>
      <w:r>
        <w:rPr>
          <w:rFonts w:ascii="Arial"/>
          <w:i/>
        </w:rPr>
        <w:t>al</w:t>
      </w:r>
      <w:r>
        <w:t>.</w:t>
      </w:r>
      <w:r>
        <w:rPr>
          <w:spacing w:val="-1"/>
        </w:rPr>
        <w:t xml:space="preserve"> </w:t>
      </w:r>
      <w:r>
        <w:t>(1984)</w:t>
      </w:r>
      <w:r>
        <w:rPr>
          <w:spacing w:val="-3"/>
        </w:rPr>
        <w:t xml:space="preserve"> </w:t>
      </w:r>
      <w:r>
        <w:t>the</w:t>
      </w:r>
      <w:r>
        <w:rPr>
          <w:spacing w:val="-1"/>
        </w:rPr>
        <w:t xml:space="preserve"> </w:t>
      </w:r>
      <w:r>
        <w:t>observed</w:t>
      </w:r>
      <w:r>
        <w:rPr>
          <w:spacing w:val="-1"/>
        </w:rPr>
        <w:t xml:space="preserve"> </w:t>
      </w:r>
      <w:r>
        <w:t>lower</w:t>
      </w:r>
      <w:r>
        <w:rPr>
          <w:spacing w:val="-3"/>
        </w:rPr>
        <w:t xml:space="preserve"> </w:t>
      </w:r>
      <w:r>
        <w:t>concentration of copper and zinc could be attributed to their over utilization in the synthesis of antioxidant enzymes to counter oxidative stress .</w:t>
      </w:r>
    </w:p>
    <w:p w14:paraId="2C0C2200" w14:textId="77777777" w:rsidR="00F129FC" w:rsidRDefault="00F129FC">
      <w:pPr>
        <w:pStyle w:val="BodyText"/>
        <w:spacing w:line="360" w:lineRule="auto"/>
        <w:sectPr w:rsidR="00F129FC">
          <w:pgSz w:w="12240" w:h="15840"/>
          <w:pgMar w:top="1360" w:right="1080" w:bottom="280" w:left="1080" w:header="720" w:footer="720" w:gutter="0"/>
          <w:cols w:space="720"/>
        </w:sectPr>
      </w:pPr>
    </w:p>
    <w:p w14:paraId="68813629" w14:textId="77777777" w:rsidR="00F129FC" w:rsidRDefault="00000000">
      <w:pPr>
        <w:pStyle w:val="BodyText"/>
        <w:spacing w:before="78" w:line="360" w:lineRule="auto"/>
        <w:ind w:right="0"/>
        <w:jc w:val="left"/>
      </w:pPr>
      <w:r>
        <w:rPr>
          <w:rFonts w:ascii="Arial" w:hAnsi="Arial"/>
          <w:b/>
        </w:rPr>
        <w:lastRenderedPageBreak/>
        <w:t>Table</w:t>
      </w:r>
      <w:r>
        <w:rPr>
          <w:rFonts w:ascii="Arial" w:hAnsi="Arial"/>
          <w:b/>
          <w:spacing w:val="70"/>
        </w:rPr>
        <w:t xml:space="preserve"> </w:t>
      </w:r>
      <w:r>
        <w:rPr>
          <w:rFonts w:ascii="Arial" w:hAnsi="Arial"/>
          <w:b/>
        </w:rPr>
        <w:t>3</w:t>
      </w:r>
      <w:r>
        <w:rPr>
          <w:rFonts w:ascii="Arial" w:hAnsi="Arial"/>
          <w:b/>
          <w:spacing w:val="70"/>
        </w:rPr>
        <w:t xml:space="preserve"> </w:t>
      </w:r>
      <w:proofErr w:type="spellStart"/>
      <w:r>
        <w:t>Mean±S.E</w:t>
      </w:r>
      <w:proofErr w:type="spellEnd"/>
      <w:r>
        <w:rPr>
          <w:spacing w:val="69"/>
        </w:rPr>
        <w:t xml:space="preserve"> </w:t>
      </w:r>
      <w:r>
        <w:t>values</w:t>
      </w:r>
      <w:r>
        <w:rPr>
          <w:spacing w:val="69"/>
        </w:rPr>
        <w:t xml:space="preserve"> </w:t>
      </w:r>
      <w:r>
        <w:t>of</w:t>
      </w:r>
      <w:r>
        <w:rPr>
          <w:spacing w:val="69"/>
        </w:rPr>
        <w:t xml:space="preserve"> </w:t>
      </w:r>
      <w:r>
        <w:t>serum</w:t>
      </w:r>
      <w:r>
        <w:rPr>
          <w:spacing w:val="70"/>
        </w:rPr>
        <w:t xml:space="preserve"> </w:t>
      </w:r>
      <w:r>
        <w:t>Zn,</w:t>
      </w:r>
      <w:r>
        <w:rPr>
          <w:spacing w:val="67"/>
        </w:rPr>
        <w:t xml:space="preserve"> </w:t>
      </w:r>
      <w:r>
        <w:t>Cu</w:t>
      </w:r>
      <w:r>
        <w:rPr>
          <w:spacing w:val="70"/>
        </w:rPr>
        <w:t xml:space="preserve"> </w:t>
      </w:r>
      <w:r>
        <w:t>and</w:t>
      </w:r>
      <w:r>
        <w:rPr>
          <w:spacing w:val="67"/>
        </w:rPr>
        <w:t xml:space="preserve"> </w:t>
      </w:r>
      <w:r>
        <w:t>Fe</w:t>
      </w:r>
      <w:r>
        <w:rPr>
          <w:spacing w:val="70"/>
        </w:rPr>
        <w:t xml:space="preserve"> </w:t>
      </w:r>
      <w:r>
        <w:t>value</w:t>
      </w:r>
      <w:r>
        <w:rPr>
          <w:spacing w:val="70"/>
        </w:rPr>
        <w:t xml:space="preserve"> </w:t>
      </w:r>
      <w:r>
        <w:t>in</w:t>
      </w:r>
      <w:r>
        <w:rPr>
          <w:spacing w:val="67"/>
        </w:rPr>
        <w:t xml:space="preserve"> </w:t>
      </w:r>
      <w:r>
        <w:t>healthy</w:t>
      </w:r>
      <w:r>
        <w:rPr>
          <w:spacing w:val="66"/>
        </w:rPr>
        <w:t xml:space="preserve"> </w:t>
      </w:r>
      <w:r>
        <w:t>and</w:t>
      </w:r>
      <w:r>
        <w:rPr>
          <w:spacing w:val="70"/>
        </w:rPr>
        <w:t xml:space="preserve"> </w:t>
      </w:r>
      <w:r>
        <w:t>canine demodicosis positive dogs</w:t>
      </w:r>
    </w:p>
    <w:p w14:paraId="4007ACC5" w14:textId="77777777" w:rsidR="00F129FC" w:rsidRDefault="00F129FC">
      <w:pPr>
        <w:pStyle w:val="BodyText"/>
        <w:spacing w:before="182"/>
        <w:ind w:left="0" w:right="0"/>
        <w:jc w:val="left"/>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089"/>
        <w:gridCol w:w="3075"/>
        <w:gridCol w:w="3080"/>
      </w:tblGrid>
      <w:tr w:rsidR="00F129FC" w14:paraId="168EFCA6" w14:textId="77777777">
        <w:trPr>
          <w:trHeight w:val="381"/>
        </w:trPr>
        <w:tc>
          <w:tcPr>
            <w:tcW w:w="3089" w:type="dxa"/>
          </w:tcPr>
          <w:p w14:paraId="017BCE4C" w14:textId="77777777" w:rsidR="00F129FC" w:rsidRDefault="00000000">
            <w:pPr>
              <w:pStyle w:val="TableParagraph"/>
              <w:spacing w:line="253" w:lineRule="exact"/>
              <w:rPr>
                <w:rFonts w:ascii="Arial"/>
                <w:b/>
              </w:rPr>
            </w:pPr>
            <w:r>
              <w:rPr>
                <w:rFonts w:ascii="Arial"/>
                <w:b/>
                <w:spacing w:val="-2"/>
              </w:rPr>
              <w:t>Parameters</w:t>
            </w:r>
          </w:p>
        </w:tc>
        <w:tc>
          <w:tcPr>
            <w:tcW w:w="3075" w:type="dxa"/>
          </w:tcPr>
          <w:p w14:paraId="05A5ED17" w14:textId="77777777" w:rsidR="00F129FC" w:rsidRDefault="00000000">
            <w:pPr>
              <w:pStyle w:val="TableParagraph"/>
              <w:spacing w:line="253" w:lineRule="exact"/>
              <w:rPr>
                <w:rFonts w:ascii="Arial"/>
                <w:b/>
              </w:rPr>
            </w:pPr>
            <w:r>
              <w:rPr>
                <w:rFonts w:ascii="Arial"/>
                <w:b/>
              </w:rPr>
              <w:t>Healthy</w:t>
            </w:r>
            <w:r>
              <w:rPr>
                <w:rFonts w:ascii="Arial"/>
                <w:b/>
                <w:spacing w:val="-8"/>
              </w:rPr>
              <w:t xml:space="preserve"> </w:t>
            </w:r>
            <w:r>
              <w:rPr>
                <w:rFonts w:ascii="Arial"/>
                <w:b/>
                <w:spacing w:val="-4"/>
              </w:rPr>
              <w:t>(n=6)</w:t>
            </w:r>
          </w:p>
        </w:tc>
        <w:tc>
          <w:tcPr>
            <w:tcW w:w="3080" w:type="dxa"/>
          </w:tcPr>
          <w:p w14:paraId="498536AA" w14:textId="77777777" w:rsidR="00F129FC" w:rsidRDefault="00000000">
            <w:pPr>
              <w:pStyle w:val="TableParagraph"/>
              <w:spacing w:line="253" w:lineRule="exact"/>
              <w:ind w:left="104"/>
              <w:rPr>
                <w:rFonts w:ascii="Arial"/>
                <w:b/>
              </w:rPr>
            </w:pPr>
            <w:r>
              <w:rPr>
                <w:rFonts w:ascii="Arial"/>
                <w:b/>
              </w:rPr>
              <w:t>Positive</w:t>
            </w:r>
            <w:r>
              <w:rPr>
                <w:rFonts w:ascii="Arial"/>
                <w:b/>
                <w:spacing w:val="-2"/>
              </w:rPr>
              <w:t xml:space="preserve"> </w:t>
            </w:r>
            <w:r>
              <w:rPr>
                <w:rFonts w:ascii="Arial"/>
                <w:b/>
              </w:rPr>
              <w:t>dogs</w:t>
            </w:r>
            <w:r>
              <w:rPr>
                <w:rFonts w:ascii="Arial"/>
                <w:b/>
                <w:spacing w:val="55"/>
              </w:rPr>
              <w:t xml:space="preserve"> </w:t>
            </w:r>
            <w:r>
              <w:rPr>
                <w:rFonts w:ascii="Arial"/>
                <w:b/>
                <w:spacing w:val="-2"/>
              </w:rPr>
              <w:t>(n=25)</w:t>
            </w:r>
          </w:p>
        </w:tc>
      </w:tr>
      <w:tr w:rsidR="00F129FC" w14:paraId="1025FE24" w14:textId="77777777">
        <w:trPr>
          <w:trHeight w:val="378"/>
        </w:trPr>
        <w:tc>
          <w:tcPr>
            <w:tcW w:w="3089" w:type="dxa"/>
          </w:tcPr>
          <w:p w14:paraId="067F1B37" w14:textId="77777777" w:rsidR="00F129FC" w:rsidRDefault="00000000">
            <w:pPr>
              <w:pStyle w:val="TableParagraph"/>
              <w:spacing w:line="253" w:lineRule="exact"/>
            </w:pPr>
            <w:r>
              <w:t>Zn</w:t>
            </w:r>
            <w:r>
              <w:rPr>
                <w:spacing w:val="-2"/>
              </w:rPr>
              <w:t xml:space="preserve"> (µg/ml)</w:t>
            </w:r>
          </w:p>
        </w:tc>
        <w:tc>
          <w:tcPr>
            <w:tcW w:w="3075" w:type="dxa"/>
          </w:tcPr>
          <w:p w14:paraId="5543B537" w14:textId="77777777" w:rsidR="00F129FC" w:rsidRDefault="00000000">
            <w:pPr>
              <w:pStyle w:val="TableParagraph"/>
              <w:spacing w:line="253" w:lineRule="exact"/>
            </w:pPr>
            <w:r>
              <w:rPr>
                <w:spacing w:val="-2"/>
              </w:rPr>
              <w:t>1.42±0.09</w:t>
            </w:r>
          </w:p>
        </w:tc>
        <w:tc>
          <w:tcPr>
            <w:tcW w:w="3080" w:type="dxa"/>
          </w:tcPr>
          <w:p w14:paraId="218BED94" w14:textId="77777777" w:rsidR="00F129FC" w:rsidRDefault="00000000">
            <w:pPr>
              <w:pStyle w:val="TableParagraph"/>
              <w:spacing w:line="253" w:lineRule="exact"/>
              <w:ind w:left="104"/>
            </w:pPr>
            <w:r>
              <w:rPr>
                <w:spacing w:val="-2"/>
              </w:rPr>
              <w:t>0.71±0.02*</w:t>
            </w:r>
          </w:p>
        </w:tc>
      </w:tr>
      <w:tr w:rsidR="00F129FC" w14:paraId="26704C81" w14:textId="77777777">
        <w:trPr>
          <w:trHeight w:val="378"/>
        </w:trPr>
        <w:tc>
          <w:tcPr>
            <w:tcW w:w="3089" w:type="dxa"/>
          </w:tcPr>
          <w:p w14:paraId="1C936779" w14:textId="77777777" w:rsidR="00F129FC" w:rsidRDefault="00000000">
            <w:pPr>
              <w:pStyle w:val="TableParagraph"/>
              <w:spacing w:line="253" w:lineRule="exact"/>
            </w:pPr>
            <w:r>
              <w:t>Cu</w:t>
            </w:r>
            <w:r>
              <w:rPr>
                <w:spacing w:val="-2"/>
              </w:rPr>
              <w:t xml:space="preserve"> (µg/ml)</w:t>
            </w:r>
          </w:p>
        </w:tc>
        <w:tc>
          <w:tcPr>
            <w:tcW w:w="3075" w:type="dxa"/>
          </w:tcPr>
          <w:p w14:paraId="5DF54FDE" w14:textId="77777777" w:rsidR="00F129FC" w:rsidRDefault="00000000">
            <w:pPr>
              <w:pStyle w:val="TableParagraph"/>
              <w:spacing w:line="253" w:lineRule="exact"/>
            </w:pPr>
            <w:r>
              <w:rPr>
                <w:spacing w:val="-2"/>
              </w:rPr>
              <w:t>1.13±0.1</w:t>
            </w:r>
          </w:p>
        </w:tc>
        <w:tc>
          <w:tcPr>
            <w:tcW w:w="3080" w:type="dxa"/>
          </w:tcPr>
          <w:p w14:paraId="2705D95B" w14:textId="77777777" w:rsidR="00F129FC" w:rsidRDefault="00000000">
            <w:pPr>
              <w:pStyle w:val="TableParagraph"/>
              <w:spacing w:line="253" w:lineRule="exact"/>
              <w:ind w:left="104"/>
            </w:pPr>
            <w:r>
              <w:rPr>
                <w:spacing w:val="-2"/>
              </w:rPr>
              <w:t>0.496±0.02*</w:t>
            </w:r>
          </w:p>
        </w:tc>
      </w:tr>
      <w:tr w:rsidR="00F129FC" w14:paraId="157E22E8" w14:textId="77777777">
        <w:trPr>
          <w:trHeight w:val="381"/>
        </w:trPr>
        <w:tc>
          <w:tcPr>
            <w:tcW w:w="3089" w:type="dxa"/>
          </w:tcPr>
          <w:p w14:paraId="3D33BF8A" w14:textId="77777777" w:rsidR="00F129FC" w:rsidRDefault="00000000">
            <w:pPr>
              <w:pStyle w:val="TableParagraph"/>
              <w:spacing w:line="253" w:lineRule="exact"/>
            </w:pPr>
            <w:r>
              <w:t>Fe</w:t>
            </w:r>
            <w:r>
              <w:rPr>
                <w:spacing w:val="-2"/>
              </w:rPr>
              <w:t xml:space="preserve"> (µg/ml)</w:t>
            </w:r>
          </w:p>
        </w:tc>
        <w:tc>
          <w:tcPr>
            <w:tcW w:w="3075" w:type="dxa"/>
          </w:tcPr>
          <w:p w14:paraId="0547E056" w14:textId="77777777" w:rsidR="00F129FC" w:rsidRDefault="00000000">
            <w:pPr>
              <w:pStyle w:val="TableParagraph"/>
              <w:spacing w:line="253" w:lineRule="exact"/>
            </w:pPr>
            <w:r>
              <w:rPr>
                <w:spacing w:val="-2"/>
              </w:rPr>
              <w:t>1.26±0.22</w:t>
            </w:r>
          </w:p>
        </w:tc>
        <w:tc>
          <w:tcPr>
            <w:tcW w:w="3080" w:type="dxa"/>
          </w:tcPr>
          <w:p w14:paraId="3175F67F" w14:textId="77777777" w:rsidR="00F129FC" w:rsidRDefault="00000000">
            <w:pPr>
              <w:pStyle w:val="TableParagraph"/>
              <w:spacing w:line="253" w:lineRule="exact"/>
              <w:ind w:left="104"/>
            </w:pPr>
            <w:r>
              <w:rPr>
                <w:spacing w:val="-2"/>
              </w:rPr>
              <w:t>0.28±0.01*</w:t>
            </w:r>
          </w:p>
        </w:tc>
      </w:tr>
    </w:tbl>
    <w:p w14:paraId="230DDDAC" w14:textId="77777777" w:rsidR="00F129FC" w:rsidRDefault="00000000">
      <w:pPr>
        <w:pStyle w:val="BodyText"/>
        <w:spacing w:before="2"/>
        <w:ind w:right="0"/>
        <w:jc w:val="left"/>
      </w:pPr>
      <w:r>
        <w:t>*Significant</w:t>
      </w:r>
      <w:r>
        <w:rPr>
          <w:spacing w:val="-5"/>
        </w:rPr>
        <w:t xml:space="preserve"> </w:t>
      </w:r>
      <w:r>
        <w:t>(p</w:t>
      </w:r>
      <w:r>
        <w:rPr>
          <w:spacing w:val="-5"/>
        </w:rPr>
        <w:t xml:space="preserve"> </w:t>
      </w:r>
      <w:r>
        <w:t>&lt;</w:t>
      </w:r>
      <w:r>
        <w:rPr>
          <w:spacing w:val="-7"/>
        </w:rPr>
        <w:t xml:space="preserve"> </w:t>
      </w:r>
      <w:r>
        <w:rPr>
          <w:spacing w:val="-4"/>
        </w:rPr>
        <w:t>0.05)</w:t>
      </w:r>
    </w:p>
    <w:p w14:paraId="65FDDC95" w14:textId="77777777" w:rsidR="00F129FC" w:rsidRDefault="00F129FC">
      <w:pPr>
        <w:pStyle w:val="BodyText"/>
        <w:spacing w:before="275"/>
        <w:ind w:left="0" w:right="0"/>
        <w:jc w:val="left"/>
      </w:pPr>
    </w:p>
    <w:p w14:paraId="57043CCF" w14:textId="77777777" w:rsidR="00F129FC" w:rsidRDefault="00000000">
      <w:pPr>
        <w:pStyle w:val="Heading2"/>
      </w:pPr>
      <w:proofErr w:type="spellStart"/>
      <w:r>
        <w:rPr>
          <w:spacing w:val="-2"/>
        </w:rPr>
        <w:t>Histopathlogical</w:t>
      </w:r>
      <w:proofErr w:type="spellEnd"/>
      <w:r>
        <w:rPr>
          <w:spacing w:val="12"/>
        </w:rPr>
        <w:t xml:space="preserve"> </w:t>
      </w:r>
      <w:r>
        <w:rPr>
          <w:spacing w:val="-2"/>
        </w:rPr>
        <w:t>changes</w:t>
      </w:r>
    </w:p>
    <w:p w14:paraId="589DB4A1" w14:textId="77777777" w:rsidR="00F129FC" w:rsidRDefault="00000000">
      <w:pPr>
        <w:pStyle w:val="BodyText"/>
        <w:spacing w:before="256" w:line="360" w:lineRule="auto"/>
        <w:ind w:right="355" w:firstLine="720"/>
        <w:rPr>
          <w:rFonts w:ascii="Arial"/>
          <w:b/>
        </w:rPr>
      </w:pPr>
      <w:r>
        <w:t>The histopathology of skin biopsy sections from positive cases of canine demodicosis revealed that there was excessive degeneration of the hair follicles in the affected dogs. The degenerative changes included desquamation of the papillary cells, detachment of the hair shaft and its extrusion from the follicle, loss of the hair cuticle as well as the inner root sheath, degeneration of the glossy membrane of the hair follicle, desquamation and degeneration of external root sheath cells with pigment</w:t>
      </w:r>
      <w:r>
        <w:rPr>
          <w:spacing w:val="-1"/>
        </w:rPr>
        <w:t xml:space="preserve"> </w:t>
      </w:r>
      <w:r>
        <w:t>deposition. A large number of dark pigmented granules of variable sizes were found accumulated at the periphery of the parasitized hair follicles suggesting hyperpigmentation. (</w:t>
      </w:r>
      <w:r>
        <w:rPr>
          <w:rFonts w:ascii="Arial"/>
          <w:b/>
        </w:rPr>
        <w:t>Figure 1)</w:t>
      </w:r>
    </w:p>
    <w:p w14:paraId="35275FC0" w14:textId="77777777" w:rsidR="00F129FC" w:rsidRDefault="00000000">
      <w:pPr>
        <w:pStyle w:val="BodyText"/>
        <w:spacing w:before="121" w:line="360" w:lineRule="auto"/>
        <w:ind w:firstLine="720"/>
      </w:pPr>
      <w:r>
        <w:t>The hair</w:t>
      </w:r>
      <w:r>
        <w:rPr>
          <w:spacing w:val="-4"/>
        </w:rPr>
        <w:t xml:space="preserve"> </w:t>
      </w:r>
      <w:r>
        <w:t>follicles were necrotic,</w:t>
      </w:r>
      <w:r>
        <w:rPr>
          <w:spacing w:val="-2"/>
        </w:rPr>
        <w:t xml:space="preserve"> </w:t>
      </w:r>
      <w:r>
        <w:t>markedly</w:t>
      </w:r>
      <w:r>
        <w:rPr>
          <w:spacing w:val="-3"/>
        </w:rPr>
        <w:t xml:space="preserve"> </w:t>
      </w:r>
      <w:r>
        <w:t>distended and</w:t>
      </w:r>
      <w:r>
        <w:rPr>
          <w:spacing w:val="-2"/>
        </w:rPr>
        <w:t xml:space="preserve"> </w:t>
      </w:r>
      <w:r>
        <w:t xml:space="preserve">filled with keratin, debris, purulent material and numerous </w:t>
      </w:r>
      <w:r>
        <w:rPr>
          <w:rFonts w:ascii="Arial"/>
          <w:i/>
        </w:rPr>
        <w:t xml:space="preserve">Demodex </w:t>
      </w:r>
      <w:r>
        <w:t xml:space="preserve">mites cut in different planes inside </w:t>
      </w:r>
      <w:proofErr w:type="spellStart"/>
      <w:r>
        <w:t>hairfollicles</w:t>
      </w:r>
      <w:proofErr w:type="spellEnd"/>
      <w:r>
        <w:t>. (</w:t>
      </w:r>
      <w:r>
        <w:rPr>
          <w:rFonts w:ascii="Arial"/>
          <w:b/>
        </w:rPr>
        <w:t>Figure 2 and 3</w:t>
      </w:r>
      <w:r>
        <w:t>)</w:t>
      </w:r>
    </w:p>
    <w:p w14:paraId="42912BBB" w14:textId="77777777" w:rsidR="00F129FC" w:rsidRDefault="00000000">
      <w:pPr>
        <w:pStyle w:val="BodyText"/>
        <w:spacing w:before="121" w:line="357" w:lineRule="auto"/>
        <w:ind w:right="359" w:firstLine="720"/>
      </w:pPr>
      <w:r>
        <w:t xml:space="preserve">The hyperpigmentation was due to increased melanocytic activity in the epidermis suggested by Solanki </w:t>
      </w:r>
      <w:r>
        <w:rPr>
          <w:rFonts w:ascii="Arial"/>
          <w:i/>
        </w:rPr>
        <w:t>et al</w:t>
      </w:r>
      <w:r>
        <w:t>. (2011).</w:t>
      </w:r>
    </w:p>
    <w:p w14:paraId="56477CC0" w14:textId="77777777" w:rsidR="00F129FC" w:rsidRDefault="00000000">
      <w:pPr>
        <w:pStyle w:val="BodyText"/>
        <w:spacing w:before="126" w:line="360" w:lineRule="auto"/>
        <w:ind w:left="360" w:right="353" w:firstLine="720"/>
      </w:pPr>
      <w:r>
        <w:t xml:space="preserve">Similar results of histopathology changes in canine demodicosis was found by Ballari </w:t>
      </w:r>
      <w:r>
        <w:rPr>
          <w:rFonts w:ascii="Arial"/>
          <w:i/>
        </w:rPr>
        <w:t>et al</w:t>
      </w:r>
      <w:r>
        <w:t xml:space="preserve">. (2009) which included dilated hair follicles with cross sections of demodex mites, hyperkeratosis, melanin pigment accumulation, </w:t>
      </w:r>
      <w:proofErr w:type="spellStart"/>
      <w:r>
        <w:t>furnculosis</w:t>
      </w:r>
      <w:proofErr w:type="spellEnd"/>
      <w:r>
        <w:t xml:space="preserve"> and extrafollicular inflammatory changes.</w:t>
      </w:r>
    </w:p>
    <w:p w14:paraId="0F89A719" w14:textId="77777777" w:rsidR="00F129FC" w:rsidRDefault="00F129FC">
      <w:pPr>
        <w:pStyle w:val="BodyText"/>
        <w:spacing w:line="360" w:lineRule="auto"/>
        <w:sectPr w:rsidR="00F129FC">
          <w:pgSz w:w="12240" w:h="15840"/>
          <w:pgMar w:top="1360" w:right="1080" w:bottom="280" w:left="108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88"/>
        <w:gridCol w:w="4788"/>
      </w:tblGrid>
      <w:tr w:rsidR="00F129FC" w14:paraId="6D7DC162" w14:textId="77777777">
        <w:trPr>
          <w:trHeight w:val="4101"/>
        </w:trPr>
        <w:tc>
          <w:tcPr>
            <w:tcW w:w="4788" w:type="dxa"/>
          </w:tcPr>
          <w:p w14:paraId="2EDC194A" w14:textId="77777777" w:rsidR="00F129FC" w:rsidRDefault="00000000">
            <w:pPr>
              <w:pStyle w:val="TableParagraph"/>
              <w:spacing w:line="240" w:lineRule="auto"/>
              <w:ind w:left="139"/>
              <w:rPr>
                <w:sz w:val="20"/>
              </w:rPr>
            </w:pPr>
            <w:r>
              <w:rPr>
                <w:noProof/>
                <w:sz w:val="20"/>
              </w:rPr>
              <w:lastRenderedPageBreak/>
              <w:drawing>
                <wp:inline distT="0" distB="0" distL="0" distR="0" wp14:anchorId="0ADFF5FD" wp14:editId="4CECAB59">
                  <wp:extent cx="2865120" cy="2477135"/>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4" cstate="print"/>
                          <a:stretch>
                            <a:fillRect/>
                          </a:stretch>
                        </pic:blipFill>
                        <pic:spPr>
                          <a:xfrm>
                            <a:off x="0" y="0"/>
                            <a:ext cx="2865308" cy="2477738"/>
                          </a:xfrm>
                          <a:prstGeom prst="rect">
                            <a:avLst/>
                          </a:prstGeom>
                        </pic:spPr>
                      </pic:pic>
                    </a:graphicData>
                  </a:graphic>
                </wp:inline>
              </w:drawing>
            </w:r>
          </w:p>
        </w:tc>
        <w:tc>
          <w:tcPr>
            <w:tcW w:w="4788" w:type="dxa"/>
          </w:tcPr>
          <w:p w14:paraId="4CC2EFFE" w14:textId="77777777" w:rsidR="00F129FC" w:rsidRDefault="00000000">
            <w:pPr>
              <w:pStyle w:val="TableParagraph"/>
              <w:spacing w:line="240" w:lineRule="auto"/>
              <w:ind w:left="139"/>
              <w:rPr>
                <w:sz w:val="20"/>
              </w:rPr>
            </w:pPr>
            <w:r>
              <w:rPr>
                <w:noProof/>
                <w:sz w:val="20"/>
              </w:rPr>
              <w:drawing>
                <wp:inline distT="0" distB="0" distL="0" distR="0" wp14:anchorId="2E765744" wp14:editId="0CFE8EB1">
                  <wp:extent cx="2906395" cy="2514600"/>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5" cstate="print"/>
                          <a:stretch>
                            <a:fillRect/>
                          </a:stretch>
                        </pic:blipFill>
                        <pic:spPr>
                          <a:xfrm>
                            <a:off x="0" y="0"/>
                            <a:ext cx="2906644" cy="2514600"/>
                          </a:xfrm>
                          <a:prstGeom prst="rect">
                            <a:avLst/>
                          </a:prstGeom>
                        </pic:spPr>
                      </pic:pic>
                    </a:graphicData>
                  </a:graphic>
                </wp:inline>
              </w:drawing>
            </w:r>
          </w:p>
        </w:tc>
      </w:tr>
      <w:tr w:rsidR="00F129FC" w14:paraId="6D48BC4B" w14:textId="77777777">
        <w:trPr>
          <w:trHeight w:val="774"/>
        </w:trPr>
        <w:tc>
          <w:tcPr>
            <w:tcW w:w="4788" w:type="dxa"/>
          </w:tcPr>
          <w:p w14:paraId="0C70ABD7" w14:textId="77777777" w:rsidR="00F129FC" w:rsidRDefault="00000000">
            <w:pPr>
              <w:pStyle w:val="TableParagraph"/>
              <w:spacing w:line="271" w:lineRule="exact"/>
              <w:rPr>
                <w:rFonts w:ascii="Arial"/>
                <w:b/>
                <w:sz w:val="24"/>
              </w:rPr>
            </w:pPr>
            <w:r>
              <w:rPr>
                <w:rFonts w:ascii="Arial"/>
                <w:b/>
                <w:sz w:val="24"/>
              </w:rPr>
              <w:t>Figure</w:t>
            </w:r>
            <w:r>
              <w:rPr>
                <w:rFonts w:ascii="Arial"/>
                <w:b/>
                <w:spacing w:val="-7"/>
                <w:sz w:val="24"/>
              </w:rPr>
              <w:t xml:space="preserve"> </w:t>
            </w:r>
            <w:r>
              <w:rPr>
                <w:rFonts w:ascii="Arial"/>
                <w:b/>
                <w:sz w:val="24"/>
              </w:rPr>
              <w:t>1</w:t>
            </w:r>
            <w:r>
              <w:rPr>
                <w:rFonts w:ascii="Arial"/>
                <w:b/>
                <w:spacing w:val="-6"/>
                <w:sz w:val="24"/>
              </w:rPr>
              <w:t xml:space="preserve"> </w:t>
            </w:r>
            <w:r>
              <w:rPr>
                <w:rFonts w:ascii="Arial"/>
                <w:b/>
                <w:i/>
                <w:sz w:val="24"/>
              </w:rPr>
              <w:t>Demodex</w:t>
            </w:r>
            <w:r>
              <w:rPr>
                <w:rFonts w:ascii="Arial"/>
                <w:b/>
                <w:i/>
                <w:spacing w:val="-6"/>
                <w:sz w:val="24"/>
              </w:rPr>
              <w:t xml:space="preserve"> </w:t>
            </w:r>
            <w:r>
              <w:rPr>
                <w:rFonts w:ascii="Arial"/>
                <w:b/>
                <w:spacing w:val="-4"/>
                <w:sz w:val="24"/>
              </w:rPr>
              <w:t>mite</w:t>
            </w:r>
          </w:p>
        </w:tc>
        <w:tc>
          <w:tcPr>
            <w:tcW w:w="4788" w:type="dxa"/>
          </w:tcPr>
          <w:p w14:paraId="597D057C" w14:textId="77777777" w:rsidR="00F129FC" w:rsidRDefault="00000000">
            <w:pPr>
              <w:pStyle w:val="TableParagraph"/>
              <w:tabs>
                <w:tab w:val="left" w:pos="1103"/>
                <w:tab w:val="left" w:pos="1722"/>
                <w:tab w:val="left" w:pos="2598"/>
                <w:tab w:val="left" w:pos="3270"/>
                <w:tab w:val="left" w:pos="3904"/>
              </w:tabs>
              <w:spacing w:line="240" w:lineRule="auto"/>
              <w:ind w:right="94"/>
              <w:rPr>
                <w:rFonts w:ascii="Arial"/>
                <w:b/>
                <w:sz w:val="20"/>
              </w:rPr>
            </w:pPr>
            <w:r>
              <w:rPr>
                <w:rFonts w:ascii="Arial"/>
                <w:b/>
                <w:sz w:val="24"/>
              </w:rPr>
              <w:t>Figure</w:t>
            </w:r>
            <w:r>
              <w:rPr>
                <w:rFonts w:ascii="Arial"/>
                <w:b/>
                <w:spacing w:val="36"/>
                <w:sz w:val="24"/>
              </w:rPr>
              <w:t xml:space="preserve"> </w:t>
            </w:r>
            <w:r>
              <w:rPr>
                <w:rFonts w:ascii="Arial"/>
                <w:b/>
                <w:sz w:val="24"/>
              </w:rPr>
              <w:t xml:space="preserve">2 </w:t>
            </w:r>
            <w:r>
              <w:rPr>
                <w:rFonts w:ascii="Arial"/>
                <w:b/>
                <w:sz w:val="20"/>
              </w:rPr>
              <w:t>Desquamation</w:t>
            </w:r>
            <w:r>
              <w:rPr>
                <w:rFonts w:ascii="Arial"/>
                <w:b/>
                <w:spacing w:val="35"/>
                <w:sz w:val="20"/>
              </w:rPr>
              <w:t xml:space="preserve"> </w:t>
            </w:r>
            <w:r>
              <w:rPr>
                <w:rFonts w:ascii="Arial"/>
                <w:b/>
                <w:sz w:val="20"/>
              </w:rPr>
              <w:t>and</w:t>
            </w:r>
            <w:r>
              <w:rPr>
                <w:rFonts w:ascii="Arial"/>
                <w:b/>
                <w:spacing w:val="35"/>
                <w:sz w:val="20"/>
              </w:rPr>
              <w:t xml:space="preserve"> </w:t>
            </w:r>
            <w:r>
              <w:rPr>
                <w:rFonts w:ascii="Arial"/>
                <w:b/>
                <w:sz w:val="20"/>
              </w:rPr>
              <w:t>degeneration</w:t>
            </w:r>
            <w:r>
              <w:rPr>
                <w:rFonts w:ascii="Arial"/>
                <w:b/>
                <w:spacing w:val="35"/>
                <w:sz w:val="20"/>
              </w:rPr>
              <w:t xml:space="preserve"> </w:t>
            </w:r>
            <w:r>
              <w:rPr>
                <w:rFonts w:ascii="Arial"/>
                <w:b/>
                <w:sz w:val="20"/>
              </w:rPr>
              <w:t xml:space="preserve">of </w:t>
            </w:r>
            <w:r>
              <w:rPr>
                <w:rFonts w:ascii="Arial"/>
                <w:b/>
                <w:spacing w:val="-2"/>
                <w:sz w:val="20"/>
              </w:rPr>
              <w:t>external</w:t>
            </w:r>
            <w:r>
              <w:rPr>
                <w:rFonts w:ascii="Arial"/>
                <w:b/>
                <w:sz w:val="20"/>
              </w:rPr>
              <w:tab/>
            </w:r>
            <w:r>
              <w:rPr>
                <w:rFonts w:ascii="Arial"/>
                <w:b/>
                <w:spacing w:val="-4"/>
                <w:sz w:val="20"/>
              </w:rPr>
              <w:t>root</w:t>
            </w:r>
            <w:r>
              <w:rPr>
                <w:rFonts w:ascii="Arial"/>
                <w:b/>
                <w:sz w:val="20"/>
              </w:rPr>
              <w:tab/>
            </w:r>
            <w:r>
              <w:rPr>
                <w:rFonts w:ascii="Arial"/>
                <w:b/>
                <w:spacing w:val="-2"/>
                <w:sz w:val="20"/>
              </w:rPr>
              <w:t>sheath</w:t>
            </w:r>
            <w:r>
              <w:rPr>
                <w:rFonts w:ascii="Arial"/>
                <w:b/>
                <w:sz w:val="20"/>
              </w:rPr>
              <w:tab/>
            </w:r>
            <w:r>
              <w:rPr>
                <w:rFonts w:ascii="Arial"/>
                <w:b/>
                <w:spacing w:val="-4"/>
                <w:sz w:val="20"/>
              </w:rPr>
              <w:t>cells</w:t>
            </w:r>
            <w:r>
              <w:rPr>
                <w:rFonts w:ascii="Arial"/>
                <w:b/>
                <w:sz w:val="20"/>
              </w:rPr>
              <w:tab/>
            </w:r>
            <w:r>
              <w:rPr>
                <w:rFonts w:ascii="Arial"/>
                <w:b/>
                <w:spacing w:val="-4"/>
                <w:sz w:val="20"/>
              </w:rPr>
              <w:t>with</w:t>
            </w:r>
            <w:r>
              <w:rPr>
                <w:rFonts w:ascii="Arial"/>
                <w:b/>
                <w:sz w:val="20"/>
              </w:rPr>
              <w:tab/>
            </w:r>
            <w:r>
              <w:rPr>
                <w:rFonts w:ascii="Arial"/>
                <w:b/>
                <w:spacing w:val="-2"/>
                <w:sz w:val="20"/>
              </w:rPr>
              <w:t>pigment</w:t>
            </w:r>
          </w:p>
          <w:p w14:paraId="2C485099" w14:textId="77777777" w:rsidR="00F129FC" w:rsidRDefault="00000000">
            <w:pPr>
              <w:pStyle w:val="TableParagraph"/>
              <w:spacing w:line="252" w:lineRule="exact"/>
              <w:rPr>
                <w:rFonts w:ascii="Calibri"/>
                <w:b/>
              </w:rPr>
            </w:pPr>
            <w:r>
              <w:rPr>
                <w:rFonts w:ascii="Arial"/>
                <w:b/>
                <w:spacing w:val="-2"/>
                <w:sz w:val="20"/>
              </w:rPr>
              <w:t>deposition.</w:t>
            </w:r>
            <w:r>
              <w:rPr>
                <w:rFonts w:ascii="Calibri"/>
                <w:b/>
                <w:spacing w:val="-2"/>
              </w:rPr>
              <w:t>100x</w:t>
            </w:r>
          </w:p>
        </w:tc>
      </w:tr>
      <w:tr w:rsidR="00F129FC" w14:paraId="5500674F" w14:textId="77777777">
        <w:trPr>
          <w:trHeight w:val="4293"/>
        </w:trPr>
        <w:tc>
          <w:tcPr>
            <w:tcW w:w="4788" w:type="dxa"/>
          </w:tcPr>
          <w:p w14:paraId="1A6C8ABA" w14:textId="77777777" w:rsidR="00F129FC" w:rsidRDefault="00000000">
            <w:pPr>
              <w:pStyle w:val="TableParagraph"/>
              <w:spacing w:line="240" w:lineRule="auto"/>
              <w:ind w:left="139"/>
              <w:rPr>
                <w:sz w:val="20"/>
              </w:rPr>
            </w:pPr>
            <w:r>
              <w:rPr>
                <w:noProof/>
                <w:sz w:val="20"/>
              </w:rPr>
              <w:drawing>
                <wp:inline distT="0" distB="0" distL="0" distR="0" wp14:anchorId="1CB4DE9D" wp14:editId="61CCFD5B">
                  <wp:extent cx="2870200" cy="2616835"/>
                  <wp:effectExtent l="0" t="0" r="0" b="0"/>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6" cstate="print"/>
                          <a:stretch>
                            <a:fillRect/>
                          </a:stretch>
                        </pic:blipFill>
                        <pic:spPr>
                          <a:xfrm>
                            <a:off x="0" y="0"/>
                            <a:ext cx="2870744" cy="2617184"/>
                          </a:xfrm>
                          <a:prstGeom prst="rect">
                            <a:avLst/>
                          </a:prstGeom>
                        </pic:spPr>
                      </pic:pic>
                    </a:graphicData>
                  </a:graphic>
                </wp:inline>
              </w:drawing>
            </w:r>
          </w:p>
        </w:tc>
        <w:tc>
          <w:tcPr>
            <w:tcW w:w="4788" w:type="dxa"/>
          </w:tcPr>
          <w:p w14:paraId="5112B040" w14:textId="77777777" w:rsidR="00F129FC" w:rsidRDefault="00000000">
            <w:pPr>
              <w:pStyle w:val="TableParagraph"/>
              <w:spacing w:line="240" w:lineRule="auto"/>
              <w:ind w:left="139"/>
              <w:rPr>
                <w:sz w:val="20"/>
              </w:rPr>
            </w:pPr>
            <w:r>
              <w:rPr>
                <w:noProof/>
                <w:sz w:val="20"/>
              </w:rPr>
              <w:drawing>
                <wp:inline distT="0" distB="0" distL="0" distR="0" wp14:anchorId="10208179" wp14:editId="4A13CAA2">
                  <wp:extent cx="2891155" cy="2635250"/>
                  <wp:effectExtent l="0" t="0" r="0" b="0"/>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7" cstate="print"/>
                          <a:stretch>
                            <a:fillRect/>
                          </a:stretch>
                        </pic:blipFill>
                        <pic:spPr>
                          <a:xfrm>
                            <a:off x="0" y="0"/>
                            <a:ext cx="2891455" cy="2635662"/>
                          </a:xfrm>
                          <a:prstGeom prst="rect">
                            <a:avLst/>
                          </a:prstGeom>
                        </pic:spPr>
                      </pic:pic>
                    </a:graphicData>
                  </a:graphic>
                </wp:inline>
              </w:drawing>
            </w:r>
          </w:p>
        </w:tc>
      </w:tr>
      <w:tr w:rsidR="00F129FC" w14:paraId="76BC19E0" w14:textId="77777777">
        <w:trPr>
          <w:trHeight w:val="839"/>
        </w:trPr>
        <w:tc>
          <w:tcPr>
            <w:tcW w:w="4788" w:type="dxa"/>
          </w:tcPr>
          <w:p w14:paraId="0B88164C" w14:textId="77777777" w:rsidR="00F129FC" w:rsidRDefault="00000000">
            <w:pPr>
              <w:pStyle w:val="TableParagraph"/>
              <w:spacing w:line="240" w:lineRule="auto"/>
              <w:ind w:right="96"/>
              <w:jc w:val="both"/>
              <w:rPr>
                <w:rFonts w:ascii="Arial"/>
                <w:b/>
                <w:sz w:val="20"/>
              </w:rPr>
            </w:pPr>
            <w:r>
              <w:rPr>
                <w:rFonts w:ascii="Arial"/>
                <w:b/>
                <w:sz w:val="24"/>
              </w:rPr>
              <w:t xml:space="preserve">Figure 3 </w:t>
            </w:r>
            <w:r>
              <w:rPr>
                <w:rFonts w:ascii="Arial"/>
                <w:b/>
                <w:sz w:val="20"/>
              </w:rPr>
              <w:t>The hair follicle was necrotic, markedly distended and filled with keratin, debris, purulent material in hair follicles.200x</w:t>
            </w:r>
          </w:p>
        </w:tc>
        <w:tc>
          <w:tcPr>
            <w:tcW w:w="4788" w:type="dxa"/>
          </w:tcPr>
          <w:p w14:paraId="7ECC17DB" w14:textId="77777777" w:rsidR="00F129FC" w:rsidRDefault="00000000">
            <w:pPr>
              <w:pStyle w:val="TableParagraph"/>
              <w:spacing w:line="240" w:lineRule="auto"/>
              <w:ind w:right="97"/>
              <w:jc w:val="both"/>
              <w:rPr>
                <w:rFonts w:ascii="Arial"/>
                <w:b/>
                <w:sz w:val="20"/>
              </w:rPr>
            </w:pPr>
            <w:r>
              <w:rPr>
                <w:rFonts w:ascii="Arial"/>
                <w:b/>
                <w:sz w:val="24"/>
              </w:rPr>
              <w:t xml:space="preserve">Figure 4 </w:t>
            </w:r>
            <w:r>
              <w:rPr>
                <w:rFonts w:ascii="Arial"/>
                <w:b/>
                <w:sz w:val="20"/>
              </w:rPr>
              <w:t xml:space="preserve">Cross section of mite in epidermis, dark pigmented granules as hyperpigmentation </w:t>
            </w:r>
            <w:r>
              <w:rPr>
                <w:rFonts w:ascii="Arial"/>
                <w:b/>
                <w:spacing w:val="-4"/>
                <w:sz w:val="20"/>
              </w:rPr>
              <w:t>400x</w:t>
            </w:r>
          </w:p>
        </w:tc>
      </w:tr>
    </w:tbl>
    <w:p w14:paraId="2939A72E" w14:textId="77777777" w:rsidR="00F129FC" w:rsidRDefault="00F129FC">
      <w:pPr>
        <w:pStyle w:val="BodyText"/>
        <w:spacing w:before="0"/>
        <w:ind w:left="0" w:right="0"/>
        <w:jc w:val="left"/>
      </w:pPr>
    </w:p>
    <w:p w14:paraId="23CF4C7B" w14:textId="77777777" w:rsidR="00F129FC" w:rsidRDefault="00F129FC">
      <w:pPr>
        <w:pStyle w:val="BodyText"/>
        <w:spacing w:before="0"/>
        <w:ind w:left="0" w:right="0"/>
        <w:jc w:val="left"/>
      </w:pPr>
    </w:p>
    <w:p w14:paraId="62B5CA12" w14:textId="77777777" w:rsidR="00F129FC" w:rsidRDefault="00F129FC">
      <w:pPr>
        <w:pStyle w:val="BodyText"/>
        <w:spacing w:before="19"/>
        <w:ind w:left="0" w:right="0"/>
        <w:jc w:val="left"/>
      </w:pPr>
    </w:p>
    <w:p w14:paraId="73160800" w14:textId="77777777" w:rsidR="00F129FC" w:rsidRDefault="00000000">
      <w:pPr>
        <w:pStyle w:val="Heading1"/>
      </w:pPr>
      <w:r>
        <w:rPr>
          <w:spacing w:val="-2"/>
        </w:rPr>
        <w:t>CONCLUSION</w:t>
      </w:r>
    </w:p>
    <w:p w14:paraId="2F3DE4AF" w14:textId="77777777" w:rsidR="00F129FC" w:rsidRDefault="00000000">
      <w:pPr>
        <w:pStyle w:val="BodyText"/>
        <w:tabs>
          <w:tab w:val="left" w:pos="1355"/>
          <w:tab w:val="left" w:pos="2716"/>
          <w:tab w:val="left" w:pos="4598"/>
          <w:tab w:val="left" w:pos="5397"/>
          <w:tab w:val="left" w:pos="6547"/>
          <w:tab w:val="left" w:pos="7761"/>
          <w:tab w:val="left" w:pos="9295"/>
        </w:tabs>
        <w:spacing w:before="139" w:line="360" w:lineRule="auto"/>
        <w:ind w:left="360" w:right="359" w:firstLine="566"/>
        <w:jc w:val="left"/>
      </w:pPr>
      <w:r>
        <w:rPr>
          <w:spacing w:val="-6"/>
        </w:rPr>
        <w:t>In</w:t>
      </w:r>
      <w:r>
        <w:tab/>
      </w:r>
      <w:r>
        <w:rPr>
          <w:spacing w:val="-2"/>
        </w:rPr>
        <w:t>conclusion</w:t>
      </w:r>
      <w:r>
        <w:tab/>
      </w:r>
      <w:proofErr w:type="spellStart"/>
      <w:r>
        <w:rPr>
          <w:spacing w:val="-2"/>
        </w:rPr>
        <w:t>Haematological</w:t>
      </w:r>
      <w:proofErr w:type="spellEnd"/>
      <w:r>
        <w:tab/>
      </w:r>
      <w:r>
        <w:rPr>
          <w:spacing w:val="-4"/>
        </w:rPr>
        <w:t>study</w:t>
      </w:r>
      <w:r>
        <w:tab/>
      </w:r>
      <w:r>
        <w:rPr>
          <w:spacing w:val="-2"/>
        </w:rPr>
        <w:t>revealed</w:t>
      </w:r>
      <w:r>
        <w:tab/>
      </w:r>
      <w:proofErr w:type="spellStart"/>
      <w:r>
        <w:rPr>
          <w:spacing w:val="-2"/>
        </w:rPr>
        <w:t>anaemia</w:t>
      </w:r>
      <w:proofErr w:type="spellEnd"/>
      <w:r>
        <w:rPr>
          <w:spacing w:val="-2"/>
        </w:rPr>
        <w:t>,</w:t>
      </w:r>
      <w:r>
        <w:tab/>
      </w:r>
      <w:proofErr w:type="spellStart"/>
      <w:r>
        <w:rPr>
          <w:spacing w:val="-2"/>
        </w:rPr>
        <w:t>leucocytosis</w:t>
      </w:r>
      <w:proofErr w:type="spellEnd"/>
      <w:r>
        <w:tab/>
      </w:r>
      <w:r>
        <w:rPr>
          <w:spacing w:val="-4"/>
        </w:rPr>
        <w:t xml:space="preserve">with </w:t>
      </w:r>
      <w:r>
        <w:t>neutrophilia, eosinophilia and lymphopenia in canine demodicosis affected dogs.</w:t>
      </w:r>
    </w:p>
    <w:p w14:paraId="747ACAA3" w14:textId="77777777" w:rsidR="00F129FC" w:rsidRDefault="00000000">
      <w:pPr>
        <w:pStyle w:val="BodyText"/>
        <w:tabs>
          <w:tab w:val="left" w:pos="2603"/>
          <w:tab w:val="left" w:pos="3556"/>
          <w:tab w:val="left" w:pos="4859"/>
          <w:tab w:val="left" w:pos="6964"/>
          <w:tab w:val="left" w:pos="7771"/>
        </w:tabs>
        <w:spacing w:before="1" w:line="360" w:lineRule="auto"/>
        <w:ind w:left="360" w:firstLine="566"/>
        <w:jc w:val="left"/>
      </w:pPr>
      <w:r>
        <w:rPr>
          <w:spacing w:val="-2"/>
        </w:rPr>
        <w:t>Biochemical</w:t>
      </w:r>
      <w:r>
        <w:tab/>
      </w:r>
      <w:r>
        <w:rPr>
          <w:spacing w:val="-4"/>
        </w:rPr>
        <w:t>study</w:t>
      </w:r>
      <w:r>
        <w:tab/>
      </w:r>
      <w:r>
        <w:rPr>
          <w:spacing w:val="-2"/>
        </w:rPr>
        <w:t>revealed</w:t>
      </w:r>
      <w:r>
        <w:tab/>
      </w:r>
      <w:proofErr w:type="spellStart"/>
      <w:r>
        <w:rPr>
          <w:spacing w:val="-2"/>
        </w:rPr>
        <w:t>hypoprotenemia</w:t>
      </w:r>
      <w:proofErr w:type="spellEnd"/>
      <w:r>
        <w:tab/>
      </w:r>
      <w:r>
        <w:rPr>
          <w:spacing w:val="-4"/>
        </w:rPr>
        <w:t>with</w:t>
      </w:r>
      <w:r>
        <w:tab/>
      </w:r>
      <w:r>
        <w:rPr>
          <w:spacing w:val="-2"/>
        </w:rPr>
        <w:t xml:space="preserve">hypoalbuminemia, </w:t>
      </w:r>
      <w:r>
        <w:t>hyperglobulinemia, low serum iron, zinc and copper levels.</w:t>
      </w:r>
    </w:p>
    <w:p w14:paraId="25BCD0D8" w14:textId="77777777" w:rsidR="00F129FC" w:rsidRDefault="00F129FC">
      <w:pPr>
        <w:pStyle w:val="BodyText"/>
        <w:spacing w:line="360" w:lineRule="auto"/>
        <w:jc w:val="left"/>
        <w:sectPr w:rsidR="00F129FC">
          <w:pgSz w:w="12240" w:h="15840"/>
          <w:pgMar w:top="1420" w:right="1080" w:bottom="280" w:left="1080" w:header="720" w:footer="720" w:gutter="0"/>
          <w:cols w:space="720"/>
        </w:sectPr>
      </w:pPr>
    </w:p>
    <w:p w14:paraId="57A4AB3C" w14:textId="77777777" w:rsidR="00F129FC" w:rsidRDefault="00000000">
      <w:pPr>
        <w:pStyle w:val="BodyText"/>
        <w:spacing w:before="78" w:line="360" w:lineRule="auto"/>
        <w:ind w:left="360" w:right="358" w:firstLine="566"/>
        <w:jc w:val="left"/>
      </w:pPr>
      <w:r>
        <w:lastRenderedPageBreak/>
        <w:t>In conclusion of histopathology revealed cross section of the mite in the epidermis with hyperpigmentation.</w:t>
      </w:r>
    </w:p>
    <w:p w14:paraId="634A028C" w14:textId="77777777" w:rsidR="00F129FC" w:rsidRDefault="00000000">
      <w:pPr>
        <w:pStyle w:val="Heading1"/>
        <w:ind w:left="360"/>
      </w:pPr>
      <w:r>
        <w:rPr>
          <w:spacing w:val="-2"/>
        </w:rPr>
        <w:t>REFERENCES</w:t>
      </w:r>
    </w:p>
    <w:p w14:paraId="2950A853" w14:textId="77777777" w:rsidR="00F129FC" w:rsidRDefault="00000000">
      <w:pPr>
        <w:spacing w:before="257" w:line="360" w:lineRule="auto"/>
        <w:ind w:left="1080" w:right="356" w:hanging="720"/>
        <w:jc w:val="both"/>
        <w:rPr>
          <w:rFonts w:ascii="Arial"/>
          <w:i/>
          <w:sz w:val="24"/>
        </w:rPr>
      </w:pPr>
      <w:r>
        <w:rPr>
          <w:sz w:val="24"/>
        </w:rPr>
        <w:t>Arora,</w:t>
      </w:r>
      <w:r>
        <w:rPr>
          <w:spacing w:val="-2"/>
          <w:sz w:val="24"/>
        </w:rPr>
        <w:t xml:space="preserve"> </w:t>
      </w:r>
      <w:r>
        <w:rPr>
          <w:sz w:val="24"/>
        </w:rPr>
        <w:t>N.,</w:t>
      </w:r>
      <w:r>
        <w:rPr>
          <w:spacing w:val="-2"/>
          <w:sz w:val="24"/>
        </w:rPr>
        <w:t xml:space="preserve"> </w:t>
      </w:r>
      <w:r>
        <w:rPr>
          <w:sz w:val="24"/>
        </w:rPr>
        <w:t>Vohra,</w:t>
      </w:r>
      <w:r>
        <w:rPr>
          <w:spacing w:val="-2"/>
          <w:sz w:val="24"/>
        </w:rPr>
        <w:t xml:space="preserve"> </w:t>
      </w:r>
      <w:r>
        <w:rPr>
          <w:sz w:val="24"/>
        </w:rPr>
        <w:t>S.,</w:t>
      </w:r>
      <w:r>
        <w:rPr>
          <w:spacing w:val="-2"/>
          <w:sz w:val="24"/>
        </w:rPr>
        <w:t xml:space="preserve"> </w:t>
      </w:r>
      <w:r>
        <w:rPr>
          <w:sz w:val="24"/>
        </w:rPr>
        <w:t>Singh,</w:t>
      </w:r>
      <w:r>
        <w:rPr>
          <w:spacing w:val="-2"/>
          <w:sz w:val="24"/>
        </w:rPr>
        <w:t xml:space="preserve"> </w:t>
      </w:r>
      <w:r>
        <w:rPr>
          <w:sz w:val="24"/>
        </w:rPr>
        <w:t>S.,</w:t>
      </w:r>
      <w:r>
        <w:rPr>
          <w:spacing w:val="-2"/>
          <w:sz w:val="24"/>
        </w:rPr>
        <w:t xml:space="preserve"> </w:t>
      </w:r>
      <w:proofErr w:type="spellStart"/>
      <w:r>
        <w:rPr>
          <w:sz w:val="24"/>
        </w:rPr>
        <w:t>Potliya</w:t>
      </w:r>
      <w:proofErr w:type="spellEnd"/>
      <w:r>
        <w:rPr>
          <w:sz w:val="24"/>
        </w:rPr>
        <w:t>,</w:t>
      </w:r>
      <w:r>
        <w:rPr>
          <w:spacing w:val="-2"/>
          <w:sz w:val="24"/>
        </w:rPr>
        <w:t xml:space="preserve"> </w:t>
      </w:r>
      <w:r>
        <w:rPr>
          <w:sz w:val="24"/>
        </w:rPr>
        <w:t>S.,</w:t>
      </w:r>
      <w:r>
        <w:rPr>
          <w:spacing w:val="-2"/>
          <w:sz w:val="24"/>
        </w:rPr>
        <w:t xml:space="preserve"> </w:t>
      </w:r>
      <w:r>
        <w:rPr>
          <w:sz w:val="24"/>
        </w:rPr>
        <w:t>Lather,</w:t>
      </w:r>
      <w:r>
        <w:rPr>
          <w:spacing w:val="-2"/>
          <w:sz w:val="24"/>
        </w:rPr>
        <w:t xml:space="preserve"> </w:t>
      </w:r>
      <w:r>
        <w:rPr>
          <w:sz w:val="24"/>
        </w:rPr>
        <w:t>A.,</w:t>
      </w:r>
      <w:r>
        <w:rPr>
          <w:spacing w:val="-5"/>
          <w:sz w:val="24"/>
        </w:rPr>
        <w:t xml:space="preserve"> </w:t>
      </w:r>
      <w:r>
        <w:rPr>
          <w:sz w:val="24"/>
        </w:rPr>
        <w:t>Gupta,</w:t>
      </w:r>
      <w:r>
        <w:rPr>
          <w:spacing w:val="-2"/>
          <w:sz w:val="24"/>
        </w:rPr>
        <w:t xml:space="preserve"> </w:t>
      </w:r>
      <w:r>
        <w:rPr>
          <w:sz w:val="24"/>
        </w:rPr>
        <w:t>A.,</w:t>
      </w:r>
      <w:r>
        <w:rPr>
          <w:spacing w:val="-2"/>
          <w:sz w:val="24"/>
        </w:rPr>
        <w:t xml:space="preserve"> </w:t>
      </w:r>
      <w:r>
        <w:rPr>
          <w:sz w:val="24"/>
        </w:rPr>
        <w:t>Arora,</w:t>
      </w:r>
      <w:r>
        <w:rPr>
          <w:spacing w:val="-2"/>
          <w:sz w:val="24"/>
        </w:rPr>
        <w:t xml:space="preserve"> </w:t>
      </w:r>
      <w:r>
        <w:rPr>
          <w:sz w:val="24"/>
        </w:rPr>
        <w:t>D.</w:t>
      </w:r>
      <w:r>
        <w:rPr>
          <w:spacing w:val="-2"/>
          <w:sz w:val="24"/>
        </w:rPr>
        <w:t xml:space="preserve"> </w:t>
      </w:r>
      <w:r>
        <w:rPr>
          <w:sz w:val="24"/>
        </w:rPr>
        <w:t>and</w:t>
      </w:r>
      <w:r>
        <w:rPr>
          <w:spacing w:val="-2"/>
          <w:sz w:val="24"/>
        </w:rPr>
        <w:t xml:space="preserve"> </w:t>
      </w:r>
      <w:r>
        <w:rPr>
          <w:sz w:val="24"/>
        </w:rPr>
        <w:t>Singh,</w:t>
      </w:r>
      <w:r>
        <w:rPr>
          <w:spacing w:val="-2"/>
          <w:sz w:val="24"/>
        </w:rPr>
        <w:t xml:space="preserve"> </w:t>
      </w:r>
      <w:r>
        <w:rPr>
          <w:sz w:val="24"/>
        </w:rPr>
        <w:t xml:space="preserve">D. (2013). Therapeutic management of chronic generalized demodicosis in a pug. </w:t>
      </w:r>
      <w:r>
        <w:rPr>
          <w:rFonts w:ascii="Arial"/>
          <w:i/>
          <w:sz w:val="24"/>
        </w:rPr>
        <w:t xml:space="preserve">Advances in Animal and Veterinary sciences, </w:t>
      </w:r>
      <w:r>
        <w:rPr>
          <w:rFonts w:ascii="Arial"/>
          <w:b/>
          <w:sz w:val="24"/>
        </w:rPr>
        <w:t>1</w:t>
      </w:r>
      <w:r>
        <w:rPr>
          <w:sz w:val="24"/>
        </w:rPr>
        <w:t>(2): 26-28</w:t>
      </w:r>
      <w:r>
        <w:rPr>
          <w:rFonts w:ascii="Arial"/>
          <w:i/>
          <w:sz w:val="24"/>
        </w:rPr>
        <w:t>.</w:t>
      </w:r>
    </w:p>
    <w:p w14:paraId="16564E79" w14:textId="77777777" w:rsidR="00F129FC" w:rsidRDefault="00000000">
      <w:pPr>
        <w:spacing w:before="121" w:line="357" w:lineRule="auto"/>
        <w:ind w:left="1080" w:right="358" w:hanging="720"/>
        <w:jc w:val="both"/>
        <w:rPr>
          <w:sz w:val="24"/>
        </w:rPr>
      </w:pPr>
      <w:r>
        <w:rPr>
          <w:sz w:val="24"/>
        </w:rPr>
        <w:t xml:space="preserve">Ballari, S., Balachandran, C., George, V. T. and Manohar, B. M. (2009). Pathology of canine demodicosis. </w:t>
      </w:r>
      <w:r>
        <w:rPr>
          <w:rFonts w:ascii="Arial"/>
          <w:i/>
          <w:sz w:val="24"/>
        </w:rPr>
        <w:t xml:space="preserve">Journal of Veterinary Parasitology, </w:t>
      </w:r>
      <w:r>
        <w:rPr>
          <w:rFonts w:ascii="Arial"/>
          <w:b/>
          <w:sz w:val="24"/>
        </w:rPr>
        <w:t>23</w:t>
      </w:r>
      <w:r>
        <w:rPr>
          <w:sz w:val="24"/>
        </w:rPr>
        <w:t>(2): 179-182</w:t>
      </w:r>
    </w:p>
    <w:p w14:paraId="080D3507" w14:textId="77777777" w:rsidR="00F129FC" w:rsidRDefault="00000000">
      <w:pPr>
        <w:pStyle w:val="BodyText"/>
        <w:spacing w:before="126" w:line="360" w:lineRule="auto"/>
        <w:ind w:left="1080" w:right="355" w:hanging="720"/>
      </w:pPr>
      <w:r>
        <w:t xml:space="preserve">Beigh, S. A., </w:t>
      </w:r>
      <w:proofErr w:type="spellStart"/>
      <w:r>
        <w:t>Soodan</w:t>
      </w:r>
      <w:proofErr w:type="spellEnd"/>
      <w:r>
        <w:t>, J. S., Singh, R., and Khan, A. M. (2013). Trace minerals status and</w:t>
      </w:r>
      <w:r>
        <w:rPr>
          <w:spacing w:val="40"/>
        </w:rPr>
        <w:t xml:space="preserve">  </w:t>
      </w:r>
      <w:r>
        <w:t>antioxidative</w:t>
      </w:r>
      <w:r>
        <w:rPr>
          <w:spacing w:val="40"/>
        </w:rPr>
        <w:t xml:space="preserve">  </w:t>
      </w:r>
      <w:r>
        <w:t>enzyme</w:t>
      </w:r>
      <w:r>
        <w:rPr>
          <w:spacing w:val="40"/>
        </w:rPr>
        <w:t xml:space="preserve">  </w:t>
      </w:r>
      <w:r>
        <w:t>activity</w:t>
      </w:r>
      <w:r>
        <w:rPr>
          <w:spacing w:val="40"/>
        </w:rPr>
        <w:t xml:space="preserve">  </w:t>
      </w:r>
      <w:r>
        <w:t>in</w:t>
      </w:r>
      <w:r>
        <w:rPr>
          <w:spacing w:val="40"/>
        </w:rPr>
        <w:t xml:space="preserve">  </w:t>
      </w:r>
      <w:r>
        <w:t>dogs</w:t>
      </w:r>
      <w:r>
        <w:rPr>
          <w:spacing w:val="40"/>
        </w:rPr>
        <w:t xml:space="preserve">  </w:t>
      </w:r>
      <w:r>
        <w:t>with</w:t>
      </w:r>
      <w:r>
        <w:rPr>
          <w:spacing w:val="40"/>
        </w:rPr>
        <w:t xml:space="preserve">  </w:t>
      </w:r>
      <w:r>
        <w:t xml:space="preserve">generalized </w:t>
      </w:r>
      <w:proofErr w:type="spellStart"/>
      <w:r>
        <w:t>demodecosis</w:t>
      </w:r>
      <w:proofErr w:type="spellEnd"/>
      <w:r>
        <w:t xml:space="preserve">. </w:t>
      </w:r>
      <w:r>
        <w:rPr>
          <w:rFonts w:ascii="Arial"/>
          <w:i/>
        </w:rPr>
        <w:t>Veterinary parasitology</w:t>
      </w:r>
      <w:r>
        <w:t xml:space="preserve">, </w:t>
      </w:r>
      <w:r>
        <w:rPr>
          <w:rFonts w:ascii="Arial"/>
          <w:b/>
        </w:rPr>
        <w:t>198</w:t>
      </w:r>
      <w:r>
        <w:t>(1-2): 180-186.</w:t>
      </w:r>
    </w:p>
    <w:p w14:paraId="7DB80270" w14:textId="77777777" w:rsidR="00F129FC" w:rsidRDefault="00000000">
      <w:pPr>
        <w:spacing w:before="118" w:line="360" w:lineRule="auto"/>
        <w:ind w:left="1080" w:right="356" w:hanging="720"/>
        <w:jc w:val="both"/>
        <w:rPr>
          <w:sz w:val="24"/>
        </w:rPr>
      </w:pPr>
      <w:r>
        <w:rPr>
          <w:sz w:val="24"/>
        </w:rPr>
        <w:t xml:space="preserve">Chakraborty, S. and Pradhan, N. R. (2015). Canine demodicosis and its herbal and </w:t>
      </w:r>
      <w:proofErr w:type="spellStart"/>
      <w:r>
        <w:rPr>
          <w:sz w:val="24"/>
        </w:rPr>
        <w:t>nonherbal</w:t>
      </w:r>
      <w:proofErr w:type="spellEnd"/>
      <w:r>
        <w:rPr>
          <w:sz w:val="24"/>
        </w:rPr>
        <w:t xml:space="preserve"> treatments. </w:t>
      </w:r>
      <w:r>
        <w:rPr>
          <w:rFonts w:ascii="Arial"/>
          <w:i/>
          <w:sz w:val="24"/>
        </w:rPr>
        <w:t xml:space="preserve">Indian Journal of Canine Practice, </w:t>
      </w:r>
      <w:r>
        <w:rPr>
          <w:rFonts w:ascii="Arial"/>
          <w:b/>
          <w:sz w:val="24"/>
        </w:rPr>
        <w:t>7</w:t>
      </w:r>
      <w:r>
        <w:rPr>
          <w:sz w:val="24"/>
        </w:rPr>
        <w:t>(2): 115.</w:t>
      </w:r>
    </w:p>
    <w:p w14:paraId="17428C09" w14:textId="77777777" w:rsidR="00F129FC" w:rsidRDefault="00000000">
      <w:pPr>
        <w:pStyle w:val="BodyText"/>
        <w:spacing w:before="121" w:line="360" w:lineRule="auto"/>
        <w:ind w:left="1079" w:hanging="720"/>
      </w:pPr>
      <w:r>
        <w:t xml:space="preserve">Dadhich, H. and Khanna, R. (2008). Pathological, haemato-biochemical and immunological studies of cutaneous </w:t>
      </w:r>
      <w:proofErr w:type="spellStart"/>
      <w:r>
        <w:t>ectoparasitoses</w:t>
      </w:r>
      <w:proofErr w:type="spellEnd"/>
      <w:r>
        <w:t xml:space="preserve"> in dogs. </w:t>
      </w:r>
      <w:r>
        <w:rPr>
          <w:rFonts w:ascii="Arial"/>
          <w:i/>
        </w:rPr>
        <w:t xml:space="preserve">Measurement, </w:t>
      </w:r>
      <w:r>
        <w:rPr>
          <w:rFonts w:ascii="Arial"/>
          <w:b/>
        </w:rPr>
        <w:t>40</w:t>
      </w:r>
      <w:r>
        <w:t xml:space="preserve">: </w:t>
      </w:r>
      <w:r>
        <w:rPr>
          <w:spacing w:val="-2"/>
        </w:rPr>
        <w:t>58-65.</w:t>
      </w:r>
    </w:p>
    <w:p w14:paraId="6F02E6CB" w14:textId="77777777" w:rsidR="00F129FC" w:rsidRDefault="00000000">
      <w:pPr>
        <w:pStyle w:val="BodyText"/>
        <w:spacing w:before="121"/>
        <w:ind w:left="360" w:right="0"/>
      </w:pPr>
      <w:proofErr w:type="spellStart"/>
      <w:r>
        <w:t>Dimri</w:t>
      </w:r>
      <w:proofErr w:type="spellEnd"/>
      <w:r>
        <w:t>,</w:t>
      </w:r>
      <w:r>
        <w:rPr>
          <w:spacing w:val="11"/>
        </w:rPr>
        <w:t xml:space="preserve"> </w:t>
      </w:r>
      <w:r>
        <w:t>U.,</w:t>
      </w:r>
      <w:r>
        <w:rPr>
          <w:spacing w:val="12"/>
        </w:rPr>
        <w:t xml:space="preserve"> </w:t>
      </w:r>
      <w:r>
        <w:t>Ranjan,</w:t>
      </w:r>
      <w:r>
        <w:rPr>
          <w:spacing w:val="12"/>
        </w:rPr>
        <w:t xml:space="preserve"> </w:t>
      </w:r>
      <w:r>
        <w:t>R.,</w:t>
      </w:r>
      <w:r>
        <w:rPr>
          <w:spacing w:val="9"/>
        </w:rPr>
        <w:t xml:space="preserve"> </w:t>
      </w:r>
      <w:r>
        <w:t>Kumar,</w:t>
      </w:r>
      <w:r>
        <w:rPr>
          <w:spacing w:val="12"/>
        </w:rPr>
        <w:t xml:space="preserve"> </w:t>
      </w:r>
      <w:r>
        <w:t>N.,</w:t>
      </w:r>
      <w:r>
        <w:rPr>
          <w:spacing w:val="12"/>
        </w:rPr>
        <w:t xml:space="preserve"> </w:t>
      </w:r>
      <w:r>
        <w:t>Sharma,</w:t>
      </w:r>
      <w:r>
        <w:rPr>
          <w:spacing w:val="11"/>
        </w:rPr>
        <w:t xml:space="preserve"> </w:t>
      </w:r>
      <w:r>
        <w:t>M.</w:t>
      </w:r>
      <w:r>
        <w:rPr>
          <w:spacing w:val="12"/>
        </w:rPr>
        <w:t xml:space="preserve"> </w:t>
      </w:r>
      <w:r>
        <w:t>C.,</w:t>
      </w:r>
      <w:r>
        <w:rPr>
          <w:spacing w:val="12"/>
        </w:rPr>
        <w:t xml:space="preserve"> </w:t>
      </w:r>
      <w:r>
        <w:t>Swarup,</w:t>
      </w:r>
      <w:r>
        <w:rPr>
          <w:spacing w:val="11"/>
        </w:rPr>
        <w:t xml:space="preserve"> </w:t>
      </w:r>
      <w:r>
        <w:t>D.,</w:t>
      </w:r>
      <w:r>
        <w:rPr>
          <w:spacing w:val="12"/>
        </w:rPr>
        <w:t xml:space="preserve"> </w:t>
      </w:r>
      <w:r>
        <w:t>Sharma,</w:t>
      </w:r>
      <w:r>
        <w:rPr>
          <w:spacing w:val="12"/>
        </w:rPr>
        <w:t xml:space="preserve"> </w:t>
      </w:r>
      <w:r>
        <w:t>B.</w:t>
      </w:r>
      <w:r>
        <w:rPr>
          <w:spacing w:val="11"/>
        </w:rPr>
        <w:t xml:space="preserve"> </w:t>
      </w:r>
      <w:r>
        <w:t>and</w:t>
      </w:r>
      <w:r>
        <w:rPr>
          <w:spacing w:val="11"/>
        </w:rPr>
        <w:t xml:space="preserve"> </w:t>
      </w:r>
      <w:r>
        <w:rPr>
          <w:spacing w:val="-2"/>
        </w:rPr>
        <w:t>Kataria,</w:t>
      </w:r>
    </w:p>
    <w:p w14:paraId="5D5CFC6B" w14:textId="77777777" w:rsidR="00F129FC" w:rsidRDefault="00000000">
      <w:pPr>
        <w:pStyle w:val="BodyText"/>
        <w:spacing w:before="137" w:line="360" w:lineRule="auto"/>
        <w:ind w:left="1080"/>
      </w:pPr>
      <w:r>
        <w:t>M.</w:t>
      </w:r>
      <w:r>
        <w:rPr>
          <w:spacing w:val="-1"/>
        </w:rPr>
        <w:t xml:space="preserve"> </w:t>
      </w:r>
      <w:r>
        <w:t>(2008).</w:t>
      </w:r>
      <w:r>
        <w:rPr>
          <w:spacing w:val="-3"/>
        </w:rPr>
        <w:t xml:space="preserve"> </w:t>
      </w:r>
      <w:r>
        <w:t>Changes</w:t>
      </w:r>
      <w:r>
        <w:rPr>
          <w:spacing w:val="-1"/>
        </w:rPr>
        <w:t xml:space="preserve"> </w:t>
      </w:r>
      <w:r>
        <w:t>in</w:t>
      </w:r>
      <w:r>
        <w:rPr>
          <w:spacing w:val="-3"/>
        </w:rPr>
        <w:t xml:space="preserve"> </w:t>
      </w:r>
      <w:r>
        <w:t>oxidative stress</w:t>
      </w:r>
      <w:r>
        <w:rPr>
          <w:spacing w:val="-1"/>
        </w:rPr>
        <w:t xml:space="preserve"> </w:t>
      </w:r>
      <w:r>
        <w:t>indices,</w:t>
      </w:r>
      <w:r>
        <w:rPr>
          <w:spacing w:val="-1"/>
        </w:rPr>
        <w:t xml:space="preserve"> </w:t>
      </w:r>
      <w:r>
        <w:t>zinc</w:t>
      </w:r>
      <w:r>
        <w:rPr>
          <w:spacing w:val="-1"/>
        </w:rPr>
        <w:t xml:space="preserve"> </w:t>
      </w:r>
      <w:r>
        <w:t>and</w:t>
      </w:r>
      <w:r>
        <w:rPr>
          <w:spacing w:val="-3"/>
        </w:rPr>
        <w:t xml:space="preserve"> </w:t>
      </w:r>
      <w:r>
        <w:t>copper</w:t>
      </w:r>
      <w:r>
        <w:rPr>
          <w:spacing w:val="-2"/>
        </w:rPr>
        <w:t xml:space="preserve"> </w:t>
      </w:r>
      <w:r>
        <w:t>concentrations</w:t>
      </w:r>
      <w:r>
        <w:rPr>
          <w:spacing w:val="-1"/>
        </w:rPr>
        <w:t xml:space="preserve"> </w:t>
      </w:r>
      <w:r>
        <w:t>in blood in canine demodicosis</w:t>
      </w:r>
      <w:r>
        <w:rPr>
          <w:rFonts w:ascii="Arial"/>
          <w:i/>
        </w:rPr>
        <w:t xml:space="preserve">. Veterinary parasitology, </w:t>
      </w:r>
      <w:r>
        <w:rPr>
          <w:rFonts w:ascii="Arial"/>
          <w:b/>
        </w:rPr>
        <w:t>154</w:t>
      </w:r>
      <w:r>
        <w:t>(1-2), 98-102.</w:t>
      </w:r>
    </w:p>
    <w:p w14:paraId="534C8CAE" w14:textId="77777777" w:rsidR="00F129FC" w:rsidRDefault="00000000">
      <w:pPr>
        <w:pStyle w:val="BodyText"/>
        <w:spacing w:line="360" w:lineRule="auto"/>
        <w:ind w:left="1079" w:right="355" w:hanging="720"/>
      </w:pPr>
      <w:proofErr w:type="spellStart"/>
      <w:r>
        <w:t>Dimri</w:t>
      </w:r>
      <w:proofErr w:type="spellEnd"/>
      <w:r>
        <w:t xml:space="preserve">, U., Sharma, M. C., Dwivedi, P. and Sharma, B. (2006). </w:t>
      </w:r>
      <w:proofErr w:type="spellStart"/>
      <w:r>
        <w:t>Clinico</w:t>
      </w:r>
      <w:proofErr w:type="spellEnd"/>
      <w:r>
        <w:t xml:space="preserve">-pathological changes in canine demodicosis with particular reference to </w:t>
      </w:r>
      <w:proofErr w:type="spellStart"/>
      <w:r>
        <w:t>Dectomax</w:t>
      </w:r>
      <w:proofErr w:type="spellEnd"/>
      <w:r>
        <w:t xml:space="preserve"> therapy</w:t>
      </w:r>
      <w:r>
        <w:rPr>
          <w:rFonts w:ascii="Arial"/>
          <w:i/>
        </w:rPr>
        <w:t>. Indian Journal of Veterinary Pathology</w:t>
      </w:r>
      <w:r>
        <w:t xml:space="preserve">, </w:t>
      </w:r>
      <w:r>
        <w:rPr>
          <w:rFonts w:ascii="Arial"/>
          <w:b/>
        </w:rPr>
        <w:t>30</w:t>
      </w:r>
      <w:r>
        <w:t>(1): 13-15.</w:t>
      </w:r>
    </w:p>
    <w:p w14:paraId="3ABDDA0F" w14:textId="77777777" w:rsidR="00F129FC" w:rsidRDefault="00000000">
      <w:pPr>
        <w:pStyle w:val="BodyText"/>
        <w:spacing w:before="121" w:line="360" w:lineRule="auto"/>
        <w:ind w:left="1079" w:right="355" w:hanging="720"/>
      </w:pPr>
      <w:r>
        <w:t>Drury, P. A. B. and Wallington, E. A. (1980). Carleton’s histological technique. (5</w:t>
      </w:r>
      <w:r>
        <w:rPr>
          <w:vertAlign w:val="superscript"/>
        </w:rPr>
        <w:t>th</w:t>
      </w:r>
      <w:r>
        <w:rPr>
          <w:spacing w:val="-17"/>
        </w:rPr>
        <w:t xml:space="preserve"> </w:t>
      </w:r>
      <w:proofErr w:type="spellStart"/>
      <w:r>
        <w:t>edn</w:t>
      </w:r>
      <w:proofErr w:type="spellEnd"/>
      <w:r>
        <w:t>.) Oxford university press, Oxford, p. 237.</w:t>
      </w:r>
    </w:p>
    <w:p w14:paraId="20634C0A" w14:textId="77777777" w:rsidR="00F129FC" w:rsidRDefault="00000000">
      <w:pPr>
        <w:pStyle w:val="BodyText"/>
        <w:ind w:right="0"/>
      </w:pPr>
      <w:r>
        <w:t>Gupta,</w:t>
      </w:r>
      <w:r>
        <w:rPr>
          <w:spacing w:val="75"/>
        </w:rPr>
        <w:t xml:space="preserve">  </w:t>
      </w:r>
      <w:r>
        <w:t>A.</w:t>
      </w:r>
      <w:r>
        <w:rPr>
          <w:spacing w:val="75"/>
        </w:rPr>
        <w:t xml:space="preserve">  </w:t>
      </w:r>
      <w:r>
        <w:t>(2008).</w:t>
      </w:r>
      <w:r>
        <w:rPr>
          <w:spacing w:val="-3"/>
        </w:rPr>
        <w:t xml:space="preserve"> </w:t>
      </w:r>
      <w:r>
        <w:t>INVESTIGATION</w:t>
      </w:r>
      <w:r>
        <w:rPr>
          <w:spacing w:val="74"/>
        </w:rPr>
        <w:t xml:space="preserve">  </w:t>
      </w:r>
      <w:r>
        <w:t>ON</w:t>
      </w:r>
      <w:r>
        <w:rPr>
          <w:spacing w:val="75"/>
        </w:rPr>
        <w:t xml:space="preserve">  </w:t>
      </w:r>
      <w:r>
        <w:t>DIETARY</w:t>
      </w:r>
      <w:r>
        <w:rPr>
          <w:spacing w:val="74"/>
        </w:rPr>
        <w:t xml:space="preserve">  </w:t>
      </w:r>
      <w:r>
        <w:t>AND</w:t>
      </w:r>
      <w:r>
        <w:rPr>
          <w:spacing w:val="75"/>
        </w:rPr>
        <w:t xml:space="preserve">  </w:t>
      </w:r>
      <w:r>
        <w:rPr>
          <w:spacing w:val="-2"/>
        </w:rPr>
        <w:t>ENVIRONMENTAL</w:t>
      </w:r>
    </w:p>
    <w:p w14:paraId="1C68E644" w14:textId="77777777" w:rsidR="00F129FC" w:rsidRDefault="00000000">
      <w:pPr>
        <w:pStyle w:val="BodyText"/>
        <w:spacing w:before="137" w:line="360" w:lineRule="auto"/>
        <w:ind w:left="1080" w:right="0"/>
        <w:jc w:val="left"/>
      </w:pPr>
      <w:r>
        <w:t>COMPONENTS</w:t>
      </w:r>
      <w:r>
        <w:rPr>
          <w:spacing w:val="80"/>
        </w:rPr>
        <w:t xml:space="preserve"> </w:t>
      </w:r>
      <w:r>
        <w:t>VIS-À-VIS</w:t>
      </w:r>
      <w:r>
        <w:rPr>
          <w:spacing w:val="80"/>
        </w:rPr>
        <w:t xml:space="preserve"> </w:t>
      </w:r>
      <w:r>
        <w:t>SKIN</w:t>
      </w:r>
      <w:r>
        <w:rPr>
          <w:spacing w:val="80"/>
        </w:rPr>
        <w:t xml:space="preserve"> </w:t>
      </w:r>
      <w:r>
        <w:t>HEALTH</w:t>
      </w:r>
      <w:r>
        <w:rPr>
          <w:spacing w:val="80"/>
        </w:rPr>
        <w:t xml:space="preserve"> </w:t>
      </w:r>
      <w:r>
        <w:t>IN</w:t>
      </w:r>
      <w:r>
        <w:rPr>
          <w:spacing w:val="80"/>
        </w:rPr>
        <w:t xml:space="preserve"> </w:t>
      </w:r>
      <w:r>
        <w:t>DOGS</w:t>
      </w:r>
      <w:r>
        <w:rPr>
          <w:spacing w:val="-1"/>
        </w:rPr>
        <w:t xml:space="preserve"> </w:t>
      </w:r>
      <w:r>
        <w:t>(Doctoral</w:t>
      </w:r>
      <w:r>
        <w:rPr>
          <w:spacing w:val="80"/>
        </w:rPr>
        <w:t xml:space="preserve"> </w:t>
      </w:r>
      <w:r>
        <w:t>dissertation, CSKHPKV, Palampur).</w:t>
      </w:r>
    </w:p>
    <w:p w14:paraId="7F566EE1" w14:textId="77777777" w:rsidR="00F129FC" w:rsidRDefault="00F129FC">
      <w:pPr>
        <w:pStyle w:val="BodyText"/>
        <w:spacing w:line="360" w:lineRule="auto"/>
        <w:jc w:val="left"/>
        <w:sectPr w:rsidR="00F129FC">
          <w:pgSz w:w="12240" w:h="15840"/>
          <w:pgMar w:top="1360" w:right="1080" w:bottom="280" w:left="1080" w:header="720" w:footer="720" w:gutter="0"/>
          <w:cols w:space="720"/>
        </w:sectPr>
      </w:pPr>
    </w:p>
    <w:p w14:paraId="31E8A613" w14:textId="77777777" w:rsidR="00F129FC" w:rsidRDefault="00000000">
      <w:pPr>
        <w:pStyle w:val="BodyText"/>
        <w:spacing w:before="78" w:line="360" w:lineRule="auto"/>
        <w:ind w:left="1080" w:right="355" w:hanging="720"/>
      </w:pPr>
      <w:r>
        <w:lastRenderedPageBreak/>
        <w:t xml:space="preserve">Haleem, M. M. A., Salib, F. A. and Farag, H. S. (2015). Evaluation of </w:t>
      </w:r>
      <w:proofErr w:type="spellStart"/>
      <w:r>
        <w:t>Haematological</w:t>
      </w:r>
      <w:proofErr w:type="spellEnd"/>
      <w:r>
        <w:t xml:space="preserve"> Parameters, Biochemical Parameters and Thyroxin Level in Dogs with Generalized Demodicosis. </w:t>
      </w:r>
      <w:r>
        <w:rPr>
          <w:rFonts w:ascii="Arial"/>
          <w:i/>
        </w:rPr>
        <w:t>Global Veterinarian</w:t>
      </w:r>
      <w:r>
        <w:t xml:space="preserve">, </w:t>
      </w:r>
      <w:r>
        <w:rPr>
          <w:rFonts w:ascii="Arial"/>
          <w:b/>
        </w:rPr>
        <w:t>15</w:t>
      </w:r>
      <w:r>
        <w:t>(1): 133-136.</w:t>
      </w:r>
    </w:p>
    <w:p w14:paraId="4537F5F4" w14:textId="77777777" w:rsidR="00F129FC" w:rsidRDefault="00000000">
      <w:pPr>
        <w:pStyle w:val="BodyText"/>
        <w:spacing w:before="119" w:line="360" w:lineRule="auto"/>
        <w:ind w:left="1079" w:hanging="720"/>
      </w:pPr>
      <w:r>
        <w:t xml:space="preserve">Janus, A., </w:t>
      </w:r>
      <w:proofErr w:type="spellStart"/>
      <w:r>
        <w:t>Tresamol</w:t>
      </w:r>
      <w:proofErr w:type="spellEnd"/>
      <w:r>
        <w:t xml:space="preserve">, P. V., Mercey, K. A., Habeeb, B. P. and Shameem, H. (2014). A study on clinical and </w:t>
      </w:r>
      <w:proofErr w:type="spellStart"/>
      <w:r>
        <w:t>haematobiochemical</w:t>
      </w:r>
      <w:proofErr w:type="spellEnd"/>
      <w:r>
        <w:t xml:space="preserve"> parameters in canine demodicosis. </w:t>
      </w:r>
      <w:r>
        <w:rPr>
          <w:rFonts w:ascii="Arial"/>
          <w:i/>
        </w:rPr>
        <w:t xml:space="preserve">Indian Journal of Canine Practice, </w:t>
      </w:r>
      <w:r>
        <w:rPr>
          <w:rFonts w:ascii="Arial"/>
          <w:b/>
        </w:rPr>
        <w:t>6</w:t>
      </w:r>
      <w:r>
        <w:t>: 92-94.</w:t>
      </w:r>
    </w:p>
    <w:p w14:paraId="0EE35D52" w14:textId="77777777" w:rsidR="00F129FC" w:rsidRDefault="00000000">
      <w:pPr>
        <w:pStyle w:val="BodyText"/>
        <w:spacing w:before="121" w:line="360" w:lineRule="auto"/>
        <w:ind w:left="1079" w:right="355" w:hanging="720"/>
      </w:pPr>
      <w:r>
        <w:t xml:space="preserve">Jyotsna, P., Maiti, S. K., Sanyal, P. K. and Tiwari, S. P. (2005). </w:t>
      </w:r>
      <w:proofErr w:type="spellStart"/>
      <w:r>
        <w:t>Haematobiochemical</w:t>
      </w:r>
      <w:proofErr w:type="spellEnd"/>
      <w:r>
        <w:t xml:space="preserve"> and mineral profiles in </w:t>
      </w:r>
      <w:proofErr w:type="spellStart"/>
      <w:r>
        <w:t>generalised</w:t>
      </w:r>
      <w:proofErr w:type="spellEnd"/>
      <w:r>
        <w:t xml:space="preserve"> canine demodicosis</w:t>
      </w:r>
      <w:r>
        <w:rPr>
          <w:rFonts w:ascii="Arial"/>
          <w:i/>
        </w:rPr>
        <w:t xml:space="preserve">. </w:t>
      </w:r>
      <w:proofErr w:type="spellStart"/>
      <w:r>
        <w:rPr>
          <w:rFonts w:ascii="Arial"/>
          <w:i/>
        </w:rPr>
        <w:t>Intas</w:t>
      </w:r>
      <w:proofErr w:type="spellEnd"/>
      <w:r>
        <w:rPr>
          <w:rFonts w:ascii="Arial"/>
          <w:i/>
        </w:rPr>
        <w:t xml:space="preserve"> </w:t>
      </w:r>
      <w:proofErr w:type="spellStart"/>
      <w:r>
        <w:rPr>
          <w:rFonts w:ascii="Arial"/>
          <w:i/>
        </w:rPr>
        <w:t>Polivet</w:t>
      </w:r>
      <w:proofErr w:type="spellEnd"/>
      <w:r>
        <w:rPr>
          <w:rFonts w:ascii="Arial"/>
          <w:i/>
        </w:rPr>
        <w:t xml:space="preserve">, </w:t>
      </w:r>
      <w:r>
        <w:rPr>
          <w:rFonts w:ascii="Arial"/>
          <w:b/>
        </w:rPr>
        <w:t>6</w:t>
      </w:r>
      <w:r>
        <w:t>(2): 331-</w:t>
      </w:r>
      <w:r>
        <w:rPr>
          <w:spacing w:val="-4"/>
        </w:rPr>
        <w:t>334.</w:t>
      </w:r>
    </w:p>
    <w:p w14:paraId="437FD7CC" w14:textId="77777777" w:rsidR="00F129FC" w:rsidRDefault="00000000">
      <w:pPr>
        <w:pStyle w:val="BodyText"/>
        <w:spacing w:before="119" w:line="360" w:lineRule="auto"/>
        <w:ind w:left="1079" w:right="355" w:hanging="720"/>
      </w:pPr>
      <w:r>
        <w:t>Kaneko, J. J., Harvey, J. W. and Bruss, M. L. (1997). Clinical Biochemistry of Domestic Animals. 5th Edition, Academic Press, London.</w:t>
      </w:r>
    </w:p>
    <w:p w14:paraId="1A86921E" w14:textId="77777777" w:rsidR="00F129FC" w:rsidRDefault="00000000">
      <w:pPr>
        <w:pStyle w:val="BodyText"/>
        <w:spacing w:before="118"/>
        <w:ind w:right="0"/>
      </w:pPr>
      <w:r>
        <w:t>Klassing,</w:t>
      </w:r>
      <w:r>
        <w:rPr>
          <w:spacing w:val="40"/>
        </w:rPr>
        <w:t xml:space="preserve"> </w:t>
      </w:r>
      <w:r>
        <w:t>G.</w:t>
      </w:r>
      <w:r>
        <w:rPr>
          <w:spacing w:val="40"/>
        </w:rPr>
        <w:t xml:space="preserve"> </w:t>
      </w:r>
      <w:r>
        <w:t>C.</w:t>
      </w:r>
      <w:r>
        <w:rPr>
          <w:spacing w:val="40"/>
        </w:rPr>
        <w:t xml:space="preserve"> </w:t>
      </w:r>
      <w:r>
        <w:t>(1998).</w:t>
      </w:r>
      <w:r>
        <w:rPr>
          <w:spacing w:val="41"/>
        </w:rPr>
        <w:t xml:space="preserve"> </w:t>
      </w:r>
      <w:r>
        <w:t>Nutritional</w:t>
      </w:r>
      <w:r>
        <w:rPr>
          <w:spacing w:val="39"/>
        </w:rPr>
        <w:t xml:space="preserve"> </w:t>
      </w:r>
      <w:r>
        <w:t>aspects</w:t>
      </w:r>
      <w:r>
        <w:rPr>
          <w:spacing w:val="40"/>
        </w:rPr>
        <w:t xml:space="preserve"> </w:t>
      </w:r>
      <w:r>
        <w:t>of</w:t>
      </w:r>
      <w:r>
        <w:rPr>
          <w:spacing w:val="42"/>
        </w:rPr>
        <w:t xml:space="preserve"> </w:t>
      </w:r>
      <w:r>
        <w:t>leukocytic</w:t>
      </w:r>
      <w:r>
        <w:rPr>
          <w:spacing w:val="40"/>
        </w:rPr>
        <w:t xml:space="preserve"> </w:t>
      </w:r>
      <w:r>
        <w:t>cytokines.</w:t>
      </w:r>
      <w:r>
        <w:rPr>
          <w:spacing w:val="41"/>
        </w:rPr>
        <w:t xml:space="preserve"> </w:t>
      </w:r>
      <w:r>
        <w:rPr>
          <w:rFonts w:ascii="Arial"/>
          <w:i/>
        </w:rPr>
        <w:t>Journal</w:t>
      </w:r>
      <w:r>
        <w:rPr>
          <w:rFonts w:ascii="Arial"/>
          <w:i/>
          <w:spacing w:val="39"/>
        </w:rPr>
        <w:t xml:space="preserve"> </w:t>
      </w:r>
      <w:r>
        <w:rPr>
          <w:rFonts w:ascii="Arial"/>
          <w:i/>
          <w:spacing w:val="-2"/>
        </w:rPr>
        <w:t>Nutrition</w:t>
      </w:r>
      <w:r>
        <w:rPr>
          <w:spacing w:val="-2"/>
        </w:rPr>
        <w:t>,</w:t>
      </w:r>
    </w:p>
    <w:p w14:paraId="37A036AE" w14:textId="77777777" w:rsidR="00F129FC" w:rsidRDefault="00000000">
      <w:pPr>
        <w:pStyle w:val="BodyText"/>
        <w:spacing w:before="141"/>
        <w:ind w:left="1079" w:right="0"/>
        <w:jc w:val="left"/>
      </w:pPr>
      <w:r>
        <w:rPr>
          <w:rFonts w:ascii="Arial" w:hAnsi="Arial"/>
          <w:b/>
        </w:rPr>
        <w:t>118</w:t>
      </w:r>
      <w:r>
        <w:t>:</w:t>
      </w:r>
      <w:r>
        <w:rPr>
          <w:spacing w:val="-12"/>
        </w:rPr>
        <w:t xml:space="preserve"> </w:t>
      </w:r>
      <w:r>
        <w:t>1435–</w:t>
      </w:r>
      <w:r>
        <w:rPr>
          <w:spacing w:val="-4"/>
        </w:rPr>
        <w:t>1443.</w:t>
      </w:r>
    </w:p>
    <w:p w14:paraId="185E8A61" w14:textId="77777777" w:rsidR="00F129FC" w:rsidRDefault="00000000">
      <w:pPr>
        <w:pStyle w:val="BodyText"/>
        <w:spacing w:before="257" w:line="360" w:lineRule="auto"/>
        <w:ind w:left="1079" w:right="355" w:hanging="720"/>
      </w:pPr>
      <w:r>
        <w:t xml:space="preserve">Kolmer, J. A., </w:t>
      </w:r>
      <w:proofErr w:type="spellStart"/>
      <w:r>
        <w:t>Spandling</w:t>
      </w:r>
      <w:proofErr w:type="spellEnd"/>
      <w:r>
        <w:t>, E. H. and Robinson, H. W. (1951). Applied laboratory technique 5</w:t>
      </w:r>
      <w:r>
        <w:rPr>
          <w:vertAlign w:val="superscript"/>
        </w:rPr>
        <w:t>th</w:t>
      </w:r>
      <w:r>
        <w:t xml:space="preserve"> </w:t>
      </w:r>
      <w:proofErr w:type="spellStart"/>
      <w:r>
        <w:t>Edn</w:t>
      </w:r>
      <w:proofErr w:type="spellEnd"/>
      <w:r>
        <w:t>, Appleton century craft Inc., New York, USA</w:t>
      </w:r>
    </w:p>
    <w:p w14:paraId="7DEF648E" w14:textId="77777777" w:rsidR="00F129FC" w:rsidRDefault="00000000">
      <w:pPr>
        <w:spacing w:before="120" w:line="360" w:lineRule="auto"/>
        <w:ind w:left="1079" w:right="355" w:hanging="720"/>
        <w:jc w:val="both"/>
        <w:rPr>
          <w:rFonts w:ascii="Arial"/>
          <w:i/>
          <w:sz w:val="24"/>
        </w:rPr>
      </w:pPr>
      <w:r>
        <w:rPr>
          <w:sz w:val="24"/>
        </w:rPr>
        <w:t>Kumar, A., Das, A. K., Sinha, M., Arya, S. K. D., Kumar, A., and Kumar, B. (2018).</w:t>
      </w:r>
      <w:r>
        <w:rPr>
          <w:spacing w:val="40"/>
          <w:sz w:val="24"/>
        </w:rPr>
        <w:t xml:space="preserve"> </w:t>
      </w:r>
      <w:r>
        <w:rPr>
          <w:sz w:val="24"/>
        </w:rPr>
        <w:t xml:space="preserve">Study on the Prevalence of Demodectic Mange in Dogs in and Around Patna. </w:t>
      </w:r>
      <w:r>
        <w:rPr>
          <w:rFonts w:ascii="Arial"/>
          <w:i/>
          <w:sz w:val="24"/>
        </w:rPr>
        <w:t xml:space="preserve">International Journal of Current Microbiology and Applied Sciences, </w:t>
      </w:r>
      <w:r>
        <w:rPr>
          <w:rFonts w:ascii="Arial"/>
          <w:b/>
          <w:sz w:val="24"/>
        </w:rPr>
        <w:t>7</w:t>
      </w:r>
      <w:r>
        <w:rPr>
          <w:sz w:val="24"/>
        </w:rPr>
        <w:t>: 4216-</w:t>
      </w:r>
      <w:r>
        <w:rPr>
          <w:spacing w:val="-2"/>
          <w:sz w:val="24"/>
        </w:rPr>
        <w:t>4221</w:t>
      </w:r>
      <w:r>
        <w:rPr>
          <w:rFonts w:ascii="Arial"/>
          <w:i/>
          <w:spacing w:val="-2"/>
          <w:sz w:val="24"/>
        </w:rPr>
        <w:t>.</w:t>
      </w:r>
    </w:p>
    <w:p w14:paraId="63F19A10" w14:textId="77777777" w:rsidR="00F129FC" w:rsidRDefault="00000000">
      <w:pPr>
        <w:pStyle w:val="BodyText"/>
        <w:spacing w:line="360" w:lineRule="auto"/>
        <w:ind w:left="1079" w:right="358" w:hanging="720"/>
      </w:pPr>
      <w:r>
        <w:t>Luna, L. G. (1968). Manual of histologic staining methods of Armed Forces Institute of Pathology. (3</w:t>
      </w:r>
      <w:r>
        <w:rPr>
          <w:vertAlign w:val="superscript"/>
        </w:rPr>
        <w:t>rd</w:t>
      </w:r>
      <w:r>
        <w:t xml:space="preserve"> </w:t>
      </w:r>
      <w:proofErr w:type="spellStart"/>
      <w:r>
        <w:t>edn</w:t>
      </w:r>
      <w:proofErr w:type="spellEnd"/>
      <w:r>
        <w:t>.) McGraw hill book company, New York, p 258.</w:t>
      </w:r>
    </w:p>
    <w:p w14:paraId="46B04907" w14:textId="77777777" w:rsidR="00F129FC" w:rsidRDefault="00000000">
      <w:pPr>
        <w:spacing w:before="118" w:line="360" w:lineRule="auto"/>
        <w:ind w:left="1080" w:right="356" w:hanging="720"/>
        <w:jc w:val="both"/>
        <w:rPr>
          <w:rFonts w:ascii="Arial"/>
          <w:i/>
          <w:sz w:val="24"/>
        </w:rPr>
      </w:pPr>
      <w:r>
        <w:rPr>
          <w:sz w:val="24"/>
        </w:rPr>
        <w:t>Mueller, R. S. (2008). Demodicosis</w:t>
      </w:r>
      <w:r>
        <w:rPr>
          <w:spacing w:val="40"/>
          <w:sz w:val="24"/>
        </w:rPr>
        <w:t xml:space="preserve"> </w:t>
      </w:r>
      <w:r>
        <w:rPr>
          <w:sz w:val="24"/>
        </w:rPr>
        <w:t xml:space="preserve">a frequent problem in the dog. </w:t>
      </w:r>
      <w:r>
        <w:rPr>
          <w:rFonts w:ascii="Arial"/>
          <w:i/>
          <w:sz w:val="24"/>
        </w:rPr>
        <w:t>Proceedings of the 33rd World Small Animal Veterinary Congress Dublin, Ireland.</w:t>
      </w:r>
    </w:p>
    <w:p w14:paraId="73EE7CFD" w14:textId="77777777" w:rsidR="00F129FC" w:rsidRDefault="00000000">
      <w:pPr>
        <w:pStyle w:val="BodyText"/>
        <w:spacing w:before="122" w:line="360" w:lineRule="auto"/>
        <w:ind w:left="1080" w:hanging="720"/>
      </w:pPr>
      <w:r>
        <w:t>Muller, G. H. and Kirk, R. W. (1969). Small animal dermatology. II. W. B. Saunders Co., Philadelphia, P. A.</w:t>
      </w:r>
    </w:p>
    <w:p w14:paraId="1F3DE1E2" w14:textId="77777777" w:rsidR="00F129FC" w:rsidRDefault="00000000">
      <w:pPr>
        <w:pStyle w:val="BodyText"/>
        <w:spacing w:line="360" w:lineRule="auto"/>
        <w:ind w:left="1080" w:right="357" w:hanging="720"/>
      </w:pPr>
      <w:r>
        <w:t xml:space="preserve">Nair, S. S. and </w:t>
      </w:r>
      <w:proofErr w:type="spellStart"/>
      <w:r>
        <w:t>Nauriyal</w:t>
      </w:r>
      <w:proofErr w:type="spellEnd"/>
      <w:r>
        <w:t xml:space="preserve">, D. S. (2007). Diagnostic significance of </w:t>
      </w:r>
      <w:proofErr w:type="spellStart"/>
      <w:r>
        <w:t>Haematological</w:t>
      </w:r>
      <w:proofErr w:type="spellEnd"/>
      <w:r>
        <w:t xml:space="preserve"> changes associated with various Canine Dermatoses</w:t>
      </w:r>
      <w:r>
        <w:rPr>
          <w:rFonts w:ascii="Arial"/>
          <w:i/>
        </w:rPr>
        <w:t xml:space="preserve">. </w:t>
      </w:r>
      <w:proofErr w:type="spellStart"/>
      <w:r>
        <w:rPr>
          <w:rFonts w:ascii="Arial"/>
          <w:i/>
        </w:rPr>
        <w:t>Intas</w:t>
      </w:r>
      <w:proofErr w:type="spellEnd"/>
      <w:r>
        <w:rPr>
          <w:rFonts w:ascii="Arial"/>
          <w:i/>
        </w:rPr>
        <w:t xml:space="preserve"> </w:t>
      </w:r>
      <w:proofErr w:type="spellStart"/>
      <w:r>
        <w:rPr>
          <w:rFonts w:ascii="Arial"/>
          <w:i/>
        </w:rPr>
        <w:t>polivet</w:t>
      </w:r>
      <w:proofErr w:type="spellEnd"/>
      <w:r>
        <w:rPr>
          <w:rFonts w:ascii="Arial"/>
          <w:i/>
        </w:rPr>
        <w:t xml:space="preserve">, </w:t>
      </w:r>
      <w:r>
        <w:rPr>
          <w:rFonts w:ascii="Arial"/>
          <w:b/>
        </w:rPr>
        <w:t>8</w:t>
      </w:r>
      <w:r>
        <w:t>(1): 68-72</w:t>
      </w:r>
    </w:p>
    <w:p w14:paraId="240F6B34" w14:textId="77777777" w:rsidR="00F129FC" w:rsidRDefault="00F129FC">
      <w:pPr>
        <w:pStyle w:val="BodyText"/>
        <w:spacing w:line="360" w:lineRule="auto"/>
        <w:sectPr w:rsidR="00F129FC">
          <w:pgSz w:w="12240" w:h="15840"/>
          <w:pgMar w:top="1360" w:right="1080" w:bottom="280" w:left="1080" w:header="720" w:footer="720" w:gutter="0"/>
          <w:cols w:space="720"/>
        </w:sectPr>
      </w:pPr>
    </w:p>
    <w:p w14:paraId="7E906408" w14:textId="77777777" w:rsidR="00F129FC" w:rsidRDefault="00000000">
      <w:pPr>
        <w:pStyle w:val="BodyText"/>
        <w:spacing w:before="78" w:line="357" w:lineRule="auto"/>
        <w:ind w:left="1079" w:hanging="720"/>
      </w:pPr>
      <w:r>
        <w:lastRenderedPageBreak/>
        <w:t xml:space="preserve">Nath, N., Chari, S. N., Rath, A. B. (1984). Superoxide dismutase in diabetic </w:t>
      </w:r>
      <w:proofErr w:type="spellStart"/>
      <w:r>
        <w:t>polymorpho</w:t>
      </w:r>
      <w:proofErr w:type="spellEnd"/>
      <w:r>
        <w:t xml:space="preserve"> nuclear leukocytes. </w:t>
      </w:r>
      <w:r>
        <w:rPr>
          <w:rFonts w:ascii="Arial" w:hAnsi="Arial"/>
          <w:i/>
        </w:rPr>
        <w:t xml:space="preserve">Diabetes </w:t>
      </w:r>
      <w:r>
        <w:rPr>
          <w:rFonts w:ascii="Arial" w:hAnsi="Arial"/>
          <w:b/>
        </w:rPr>
        <w:t>33</w:t>
      </w:r>
      <w:r>
        <w:t>: 586–589.</w:t>
      </w:r>
    </w:p>
    <w:p w14:paraId="045A8550" w14:textId="77777777" w:rsidR="00F129FC" w:rsidRDefault="00000000">
      <w:pPr>
        <w:spacing w:before="123" w:line="360" w:lineRule="auto"/>
        <w:ind w:left="1080" w:right="356" w:hanging="720"/>
        <w:jc w:val="both"/>
        <w:rPr>
          <w:sz w:val="24"/>
        </w:rPr>
      </w:pPr>
      <w:r>
        <w:rPr>
          <w:sz w:val="24"/>
        </w:rPr>
        <w:t xml:space="preserve">Nesbitt, G. H. (1983). Canine and feline dermatology: A systematic approach. </w:t>
      </w:r>
      <w:r>
        <w:rPr>
          <w:rFonts w:ascii="Arial"/>
          <w:i/>
          <w:sz w:val="24"/>
        </w:rPr>
        <w:t xml:space="preserve">Lea and </w:t>
      </w:r>
      <w:proofErr w:type="spellStart"/>
      <w:r>
        <w:rPr>
          <w:rFonts w:ascii="Arial"/>
          <w:i/>
          <w:sz w:val="24"/>
        </w:rPr>
        <w:t>Febiger</w:t>
      </w:r>
      <w:proofErr w:type="spellEnd"/>
      <w:r>
        <w:rPr>
          <w:rFonts w:ascii="Arial"/>
          <w:i/>
          <w:sz w:val="24"/>
        </w:rPr>
        <w:t>, Philadelphia</w:t>
      </w:r>
      <w:r>
        <w:rPr>
          <w:sz w:val="24"/>
        </w:rPr>
        <w:t>.</w:t>
      </w:r>
    </w:p>
    <w:p w14:paraId="1FB91206" w14:textId="77777777" w:rsidR="00F129FC" w:rsidRDefault="00000000">
      <w:pPr>
        <w:pStyle w:val="BodyText"/>
        <w:spacing w:before="122" w:line="360" w:lineRule="auto"/>
        <w:ind w:left="1080" w:hanging="720"/>
      </w:pPr>
      <w:r>
        <w:t xml:space="preserve">Oludunsin, F. O., Emmanuel, O., </w:t>
      </w:r>
      <w:proofErr w:type="spellStart"/>
      <w:r>
        <w:t>Olayide</w:t>
      </w:r>
      <w:proofErr w:type="spellEnd"/>
      <w:r>
        <w:t xml:space="preserve">, A. J., Augustine, O. O., </w:t>
      </w:r>
      <w:proofErr w:type="spellStart"/>
      <w:r>
        <w:t>Jokotola</w:t>
      </w:r>
      <w:proofErr w:type="spellEnd"/>
      <w:r>
        <w:t>, A. O., Tolulope, O. S.</w:t>
      </w:r>
      <w:r>
        <w:rPr>
          <w:spacing w:val="-2"/>
        </w:rPr>
        <w:t xml:space="preserve"> </w:t>
      </w:r>
      <w:r>
        <w:t>and Simon, S. (2014). Death</w:t>
      </w:r>
      <w:r>
        <w:rPr>
          <w:spacing w:val="-2"/>
        </w:rPr>
        <w:t xml:space="preserve"> </w:t>
      </w:r>
      <w:r>
        <w:t>of a</w:t>
      </w:r>
      <w:r>
        <w:rPr>
          <w:spacing w:val="-2"/>
        </w:rPr>
        <w:t xml:space="preserve"> </w:t>
      </w:r>
      <w:r>
        <w:t xml:space="preserve">four-year-old German shepherd dog due to Demodex </w:t>
      </w:r>
      <w:proofErr w:type="spellStart"/>
      <w:r>
        <w:t>canis</w:t>
      </w:r>
      <w:proofErr w:type="spellEnd"/>
      <w:r>
        <w:t xml:space="preserve"> in Ibadan, Southwest Nigeria: a case report</w:t>
      </w:r>
      <w:r>
        <w:rPr>
          <w:rFonts w:ascii="Arial"/>
          <w:i/>
        </w:rPr>
        <w:t xml:space="preserve">. Research, </w:t>
      </w:r>
      <w:r>
        <w:rPr>
          <w:rFonts w:ascii="Arial"/>
          <w:b/>
        </w:rPr>
        <w:t>1</w:t>
      </w:r>
      <w:r>
        <w:t>: 887.</w:t>
      </w:r>
    </w:p>
    <w:p w14:paraId="19F5405B" w14:textId="77777777" w:rsidR="00F129FC" w:rsidRDefault="00000000">
      <w:pPr>
        <w:spacing w:before="121" w:line="357" w:lineRule="auto"/>
        <w:ind w:left="1080" w:right="355" w:hanging="720"/>
        <w:jc w:val="both"/>
        <w:rPr>
          <w:sz w:val="24"/>
        </w:rPr>
      </w:pPr>
      <w:r>
        <w:rPr>
          <w:sz w:val="24"/>
        </w:rPr>
        <w:t xml:space="preserve">Pradhan, N. R., Chatterjee, S. and </w:t>
      </w:r>
      <w:proofErr w:type="spellStart"/>
      <w:r>
        <w:rPr>
          <w:sz w:val="24"/>
        </w:rPr>
        <w:t>Lodh</w:t>
      </w:r>
      <w:proofErr w:type="spellEnd"/>
      <w:r>
        <w:rPr>
          <w:sz w:val="24"/>
        </w:rPr>
        <w:t xml:space="preserve">, C (2012). Demodicosis in dogs and its therapeutic management. </w:t>
      </w:r>
      <w:r>
        <w:rPr>
          <w:rFonts w:ascii="Arial"/>
          <w:i/>
          <w:sz w:val="24"/>
        </w:rPr>
        <w:t>Indian Journal of Canine Practice</w:t>
      </w:r>
      <w:r>
        <w:rPr>
          <w:sz w:val="24"/>
        </w:rPr>
        <w:t xml:space="preserve">, </w:t>
      </w:r>
      <w:r>
        <w:rPr>
          <w:rFonts w:ascii="Arial"/>
          <w:b/>
          <w:sz w:val="24"/>
        </w:rPr>
        <w:t>4</w:t>
      </w:r>
      <w:r>
        <w:rPr>
          <w:sz w:val="24"/>
        </w:rPr>
        <w:t>(1): 44-48.</w:t>
      </w:r>
    </w:p>
    <w:p w14:paraId="70B2A42B" w14:textId="77777777" w:rsidR="00F129FC" w:rsidRDefault="00000000">
      <w:pPr>
        <w:pStyle w:val="BodyText"/>
        <w:spacing w:before="125" w:line="360" w:lineRule="auto"/>
        <w:ind w:left="1079" w:right="355" w:hanging="720"/>
        <w:rPr>
          <w:rFonts w:ascii="Arial"/>
          <w:i/>
        </w:rPr>
      </w:pPr>
      <w:r>
        <w:t xml:space="preserve">Reddy, B. S., Kumari, K. N., </w:t>
      </w:r>
      <w:proofErr w:type="spellStart"/>
      <w:r>
        <w:t>Sivajothi</w:t>
      </w:r>
      <w:proofErr w:type="spellEnd"/>
      <w:r>
        <w:t xml:space="preserve">, S. and </w:t>
      </w:r>
      <w:proofErr w:type="spellStart"/>
      <w:r>
        <w:t>Venkatasivakumar</w:t>
      </w:r>
      <w:proofErr w:type="spellEnd"/>
      <w:r>
        <w:t xml:space="preserve">, R. (2014a). Dermatitis due to Mixed Demodex and </w:t>
      </w:r>
      <w:proofErr w:type="spellStart"/>
      <w:r>
        <w:t>Sarcoptes</w:t>
      </w:r>
      <w:proofErr w:type="spellEnd"/>
      <w:r>
        <w:t xml:space="preserve"> Mites in Dogs. Case Reports</w:t>
      </w:r>
      <w:r>
        <w:rPr>
          <w:spacing w:val="40"/>
        </w:rPr>
        <w:t xml:space="preserve"> </w:t>
      </w:r>
      <w:r>
        <w:rPr>
          <w:rFonts w:ascii="Arial"/>
          <w:i/>
        </w:rPr>
        <w:t>Veterinary Medicine Volume,</w:t>
      </w:r>
      <w:r>
        <w:rPr>
          <w:rFonts w:ascii="Arial"/>
          <w:i/>
          <w:spacing w:val="40"/>
        </w:rPr>
        <w:t xml:space="preserve"> </w:t>
      </w:r>
      <w:r>
        <w:t>2014</w:t>
      </w:r>
      <w:r>
        <w:rPr>
          <w:rFonts w:ascii="Arial"/>
          <w:i/>
        </w:rPr>
        <w:t>.</w:t>
      </w:r>
    </w:p>
    <w:p w14:paraId="1050FFE8" w14:textId="77777777" w:rsidR="00F129FC" w:rsidRDefault="00000000">
      <w:pPr>
        <w:pStyle w:val="BodyText"/>
        <w:spacing w:before="119" w:line="360" w:lineRule="auto"/>
        <w:ind w:left="1079" w:hanging="720"/>
      </w:pPr>
      <w:r>
        <w:t xml:space="preserve">Sakina, A., </w:t>
      </w:r>
      <w:proofErr w:type="spellStart"/>
      <w:r>
        <w:t>Mandial</w:t>
      </w:r>
      <w:proofErr w:type="spellEnd"/>
      <w:r>
        <w:t xml:space="preserve">, R. K., and Mudasir, Q. (2012). </w:t>
      </w:r>
      <w:proofErr w:type="spellStart"/>
      <w:r>
        <w:t>Haematobiochemical</w:t>
      </w:r>
      <w:proofErr w:type="spellEnd"/>
      <w:r>
        <w:t xml:space="preserve"> changes in canine </w:t>
      </w:r>
      <w:proofErr w:type="spellStart"/>
      <w:r>
        <w:t>demodecosis</w:t>
      </w:r>
      <w:proofErr w:type="spellEnd"/>
      <w:r>
        <w:t xml:space="preserve">. </w:t>
      </w:r>
      <w:r>
        <w:rPr>
          <w:rFonts w:ascii="Arial"/>
          <w:i/>
        </w:rPr>
        <w:t>Vet Scan</w:t>
      </w:r>
      <w:r>
        <w:t xml:space="preserve">, </w:t>
      </w:r>
      <w:r>
        <w:rPr>
          <w:rFonts w:ascii="Arial"/>
          <w:b/>
        </w:rPr>
        <w:t>7</w:t>
      </w:r>
      <w:r>
        <w:t>: 75-78.</w:t>
      </w:r>
    </w:p>
    <w:p w14:paraId="0E762B8B" w14:textId="77777777" w:rsidR="00F129FC" w:rsidRDefault="00000000">
      <w:pPr>
        <w:pStyle w:val="BodyText"/>
        <w:spacing w:line="360" w:lineRule="auto"/>
        <w:ind w:left="1079" w:right="355" w:hanging="720"/>
      </w:pPr>
      <w:r>
        <w:t xml:space="preserve">Scott, D. W., Miller, W. H. and Griffin, C. E. (2001a). Muller and </w:t>
      </w:r>
      <w:proofErr w:type="spellStart"/>
      <w:r>
        <w:t>Kirk</w:t>
      </w:r>
      <w:r>
        <w:rPr>
          <w:rFonts w:ascii="Microsoft Sans Serif" w:hAnsi="Microsoft Sans Serif"/>
        </w:rPr>
        <w:t>‟</w:t>
      </w:r>
      <w:r>
        <w:t>s</w:t>
      </w:r>
      <w:proofErr w:type="spellEnd"/>
      <w:r>
        <w:t xml:space="preserve"> small animal dermatology 6th edition. </w:t>
      </w:r>
      <w:r>
        <w:rPr>
          <w:rFonts w:ascii="Arial" w:hAnsi="Arial"/>
          <w:i/>
        </w:rPr>
        <w:t>Philadelphia: WB Saunders</w:t>
      </w:r>
      <w:r>
        <w:t>, 543-666.</w:t>
      </w:r>
    </w:p>
    <w:p w14:paraId="6671392D" w14:textId="77777777" w:rsidR="00F129FC" w:rsidRDefault="00000000">
      <w:pPr>
        <w:spacing w:before="120" w:line="360" w:lineRule="auto"/>
        <w:ind w:left="1079" w:right="356" w:hanging="720"/>
        <w:jc w:val="both"/>
        <w:rPr>
          <w:rFonts w:ascii="Arial" w:hAnsi="Arial"/>
          <w:i/>
          <w:sz w:val="24"/>
        </w:rPr>
      </w:pPr>
      <w:r>
        <w:rPr>
          <w:sz w:val="24"/>
        </w:rPr>
        <w:t xml:space="preserve">Singh, S. K., </w:t>
      </w:r>
      <w:proofErr w:type="spellStart"/>
      <w:r>
        <w:rPr>
          <w:sz w:val="24"/>
        </w:rPr>
        <w:t>Dimri</w:t>
      </w:r>
      <w:proofErr w:type="spellEnd"/>
      <w:r>
        <w:rPr>
          <w:sz w:val="24"/>
        </w:rPr>
        <w:t xml:space="preserve">, U., Sharma, M. C., Swarup, D., Sharma, B., Pandey, H. O. and Kumari, P. (2011). The role of apoptosis in immunosuppression of dogs with demodicosis. </w:t>
      </w:r>
      <w:r>
        <w:rPr>
          <w:rFonts w:ascii="Arial" w:hAnsi="Arial"/>
          <w:i/>
          <w:sz w:val="24"/>
        </w:rPr>
        <w:t xml:space="preserve">Veterinary Immunology and Immunopathology, </w:t>
      </w:r>
      <w:r>
        <w:rPr>
          <w:rFonts w:ascii="Arial" w:hAnsi="Arial"/>
          <w:b/>
          <w:sz w:val="24"/>
        </w:rPr>
        <w:t xml:space="preserve">144; </w:t>
      </w:r>
      <w:r>
        <w:rPr>
          <w:sz w:val="24"/>
        </w:rPr>
        <w:t>487– 492</w:t>
      </w:r>
      <w:r>
        <w:rPr>
          <w:rFonts w:ascii="Arial" w:hAnsi="Arial"/>
          <w:i/>
          <w:sz w:val="24"/>
        </w:rPr>
        <w:t>.</w:t>
      </w:r>
    </w:p>
    <w:p w14:paraId="20AB70B4" w14:textId="77777777" w:rsidR="00F129FC" w:rsidRDefault="00000000">
      <w:pPr>
        <w:pStyle w:val="BodyText"/>
        <w:spacing w:before="122" w:line="360" w:lineRule="auto"/>
        <w:ind w:left="1079" w:hanging="720"/>
      </w:pPr>
      <w:r>
        <w:t>Snedecor, G. W. and Cochran, W. G. (1968). Statistical methods, 6</w:t>
      </w:r>
      <w:r>
        <w:rPr>
          <w:vertAlign w:val="superscript"/>
        </w:rPr>
        <w:t>th</w:t>
      </w:r>
      <w:r>
        <w:t xml:space="preserve"> Ed. Oxford and IBH Publishing Co., New Delhi.</w:t>
      </w:r>
    </w:p>
    <w:p w14:paraId="6C0F7ECE" w14:textId="77777777" w:rsidR="00F129FC" w:rsidRDefault="00000000">
      <w:pPr>
        <w:pStyle w:val="BodyText"/>
        <w:spacing w:line="360" w:lineRule="auto"/>
        <w:ind w:left="1079" w:right="355" w:hanging="720"/>
      </w:pPr>
      <w:r>
        <w:t xml:space="preserve">Solanki, J. B., </w:t>
      </w:r>
      <w:proofErr w:type="spellStart"/>
      <w:r>
        <w:t>Hasnani</w:t>
      </w:r>
      <w:proofErr w:type="spellEnd"/>
      <w:r>
        <w:t xml:space="preserve">, J. J., Panchal, K. M., </w:t>
      </w:r>
      <w:proofErr w:type="spellStart"/>
      <w:r>
        <w:t>Naurial</w:t>
      </w:r>
      <w:proofErr w:type="spellEnd"/>
      <w:r>
        <w:t>, D. S., and Patel, P. V. (2011). Histopathological changes in canine demodicosis.</w:t>
      </w:r>
      <w:r>
        <w:rPr>
          <w:spacing w:val="-3"/>
        </w:rPr>
        <w:t xml:space="preserve"> </w:t>
      </w:r>
      <w:r>
        <w:rPr>
          <w:rFonts w:ascii="Arial"/>
          <w:i/>
        </w:rPr>
        <w:t>Haryana Veterinarian</w:t>
      </w:r>
      <w:r>
        <w:t>,</w:t>
      </w:r>
      <w:r>
        <w:rPr>
          <w:spacing w:val="-3"/>
        </w:rPr>
        <w:t xml:space="preserve"> </w:t>
      </w:r>
      <w:r>
        <w:rPr>
          <w:rFonts w:ascii="Arial"/>
          <w:b/>
        </w:rPr>
        <w:t>50</w:t>
      </w:r>
      <w:r>
        <w:t>: 57-</w:t>
      </w:r>
      <w:r>
        <w:rPr>
          <w:spacing w:val="-4"/>
        </w:rPr>
        <w:t>60.</w:t>
      </w:r>
    </w:p>
    <w:p w14:paraId="2980A7BD" w14:textId="77777777" w:rsidR="00F129FC" w:rsidRDefault="00000000">
      <w:pPr>
        <w:pStyle w:val="BodyText"/>
        <w:spacing w:before="119" w:line="360" w:lineRule="auto"/>
        <w:ind w:left="1080" w:hanging="720"/>
      </w:pPr>
      <w:r>
        <w:t xml:space="preserve">Srikala, D., Satish, K. K., Amruth, K. V. V. V., Nagaraj, P., Ayodhya, S. and Rao, T. (2010). Management of mixed infestation of </w:t>
      </w:r>
      <w:proofErr w:type="spellStart"/>
      <w:r>
        <w:t>Malasseziosis</w:t>
      </w:r>
      <w:proofErr w:type="spellEnd"/>
      <w:r>
        <w:t xml:space="preserve"> and Demodicosis in Dogs. </w:t>
      </w:r>
      <w:proofErr w:type="spellStart"/>
      <w:r>
        <w:rPr>
          <w:rFonts w:ascii="Arial"/>
          <w:i/>
        </w:rPr>
        <w:t>Intas</w:t>
      </w:r>
      <w:proofErr w:type="spellEnd"/>
      <w:r>
        <w:rPr>
          <w:rFonts w:ascii="Arial"/>
          <w:i/>
        </w:rPr>
        <w:t xml:space="preserve"> </w:t>
      </w:r>
      <w:proofErr w:type="spellStart"/>
      <w:r>
        <w:rPr>
          <w:rFonts w:ascii="Arial"/>
          <w:i/>
        </w:rPr>
        <w:t>Polivet</w:t>
      </w:r>
      <w:proofErr w:type="spellEnd"/>
      <w:r>
        <w:rPr>
          <w:rFonts w:ascii="Arial"/>
          <w:i/>
        </w:rPr>
        <w:t xml:space="preserve">, </w:t>
      </w:r>
      <w:r>
        <w:rPr>
          <w:rFonts w:ascii="Arial"/>
          <w:b/>
        </w:rPr>
        <w:t xml:space="preserve">11 </w:t>
      </w:r>
      <w:r>
        <w:t>(1): 74-76.</w:t>
      </w:r>
    </w:p>
    <w:p w14:paraId="47AFBDB9" w14:textId="77777777" w:rsidR="00F129FC" w:rsidRDefault="00F129FC">
      <w:pPr>
        <w:pStyle w:val="BodyText"/>
        <w:spacing w:line="360" w:lineRule="auto"/>
        <w:sectPr w:rsidR="00F129FC">
          <w:pgSz w:w="12240" w:h="15840"/>
          <w:pgMar w:top="1360" w:right="1080" w:bottom="280" w:left="1080" w:header="720" w:footer="720" w:gutter="0"/>
          <w:cols w:space="720"/>
        </w:sectPr>
      </w:pPr>
    </w:p>
    <w:p w14:paraId="3C0E47A9" w14:textId="77777777" w:rsidR="00F129FC" w:rsidRDefault="00000000">
      <w:pPr>
        <w:pStyle w:val="BodyText"/>
        <w:spacing w:before="78" w:line="357" w:lineRule="auto"/>
        <w:ind w:left="1080" w:right="358" w:hanging="720"/>
        <w:jc w:val="left"/>
      </w:pPr>
      <w:r>
        <w:lastRenderedPageBreak/>
        <w:t>Wilkinson, G. T., and Harvey, R. G. (1994).</w:t>
      </w:r>
      <w:r>
        <w:rPr>
          <w:spacing w:val="-4"/>
        </w:rPr>
        <w:t xml:space="preserve"> </w:t>
      </w:r>
      <w:r>
        <w:t>Color atlas of small animal dermatology- A guide to diagnosis (2</w:t>
      </w:r>
      <w:r>
        <w:rPr>
          <w:vertAlign w:val="superscript"/>
        </w:rPr>
        <w:t>nd</w:t>
      </w:r>
      <w:r>
        <w:t xml:space="preserve"> </w:t>
      </w:r>
      <w:proofErr w:type="spellStart"/>
      <w:r>
        <w:t>edn</w:t>
      </w:r>
      <w:proofErr w:type="spellEnd"/>
      <w:r>
        <w:t xml:space="preserve">.). </w:t>
      </w:r>
      <w:r>
        <w:rPr>
          <w:rFonts w:ascii="Arial"/>
          <w:i/>
        </w:rPr>
        <w:t>Mosby-Wolfe Publishers</w:t>
      </w:r>
      <w:r>
        <w:t>.</w:t>
      </w:r>
    </w:p>
    <w:sectPr w:rsidR="00F129FC">
      <w:pgSz w:w="12240" w:h="15840"/>
      <w:pgMar w:top="1360" w:right="108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CC222" w14:textId="77777777" w:rsidR="00173166" w:rsidRDefault="00173166">
      <w:r>
        <w:separator/>
      </w:r>
    </w:p>
  </w:endnote>
  <w:endnote w:type="continuationSeparator" w:id="0">
    <w:p w14:paraId="0B41A9E0" w14:textId="77777777" w:rsidR="00173166" w:rsidRDefault="00173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default"/>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A08A7" w14:textId="77777777" w:rsidR="00F129FC" w:rsidRDefault="00F12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52F02" w14:textId="77777777" w:rsidR="00F129FC" w:rsidRDefault="00F129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DA0F2" w14:textId="77777777" w:rsidR="00F129FC" w:rsidRDefault="00F12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DB1B0" w14:textId="77777777" w:rsidR="00173166" w:rsidRDefault="00173166">
      <w:r>
        <w:separator/>
      </w:r>
    </w:p>
  </w:footnote>
  <w:footnote w:type="continuationSeparator" w:id="0">
    <w:p w14:paraId="3B4BE115" w14:textId="77777777" w:rsidR="00173166" w:rsidRDefault="00173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CE481" w14:textId="77777777" w:rsidR="00F129FC" w:rsidRDefault="00000000">
    <w:pPr>
      <w:pStyle w:val="Header"/>
    </w:pPr>
    <w:r>
      <w:pict w14:anchorId="018C78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00188" o:spid="_x0000_s1026" type="#_x0000_t136" style="position:absolute;margin-left:0;margin-top:0;width:639.45pt;height:71.05pt;rotation:315;z-index:-251656192;mso-position-horizontal:center;mso-position-horizontal-relative:margin;mso-position-vertical:center;mso-position-vertical-relative:margin;mso-width-relative:page;mso-height-relative:page" o:allowincell="f" fillcolor="silver" stroked="f">
          <v:fill opacity=".5"/>
          <v:textpath style="font-family:&quot;Arial MT&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083F9" w14:textId="77777777" w:rsidR="00F129FC" w:rsidRDefault="00000000">
    <w:pPr>
      <w:pStyle w:val="Header"/>
    </w:pPr>
    <w:r>
      <w:pict w14:anchorId="545F30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00189" o:spid="_x0000_s1027" type="#_x0000_t136" style="position:absolute;margin-left:0;margin-top:0;width:639.45pt;height:71.05pt;rotation:315;z-index:-251655168;mso-position-horizontal:center;mso-position-horizontal-relative:margin;mso-position-vertical:center;mso-position-vertical-relative:margin;mso-width-relative:page;mso-height-relative:page" o:allowincell="f" fillcolor="silver" stroked="f">
          <v:fill opacity=".5"/>
          <v:textpath style="font-family:&quot;Arial MT&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6818C" w14:textId="77777777" w:rsidR="00F129FC" w:rsidRDefault="00000000">
    <w:pPr>
      <w:pStyle w:val="Header"/>
    </w:pPr>
    <w:r>
      <w:pict w14:anchorId="5B4262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00187" o:spid="_x0000_s1025" type="#_x0000_t136" style="position:absolute;margin-left:0;margin-top:0;width:639.45pt;height:71.05pt;rotation:315;z-index:-251657216;mso-position-horizontal:center;mso-position-horizontal-relative:margin;mso-position-vertical:center;mso-position-vertical-relative:margin;mso-width-relative:page;mso-height-relative:page" o:allowincell="f" fillcolor="silver" stroked="f">
          <v:fill opacity=".5"/>
          <v:textpath style="font-family:&quot;Arial MT&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14122"/>
    <w:multiLevelType w:val="hybridMultilevel"/>
    <w:tmpl w:val="655CFF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0582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doNotExpandShiftReturn/>
    <w:compatSetting w:name="compatibilityMode" w:uri="http://schemas.microsoft.com/office/word" w:val="14"/>
    <w:compatSetting w:name="useWord2013TrackBottomHyphenation" w:uri="http://schemas.microsoft.com/office/word" w:val="1"/>
  </w:compat>
  <w:rsids>
    <w:rsidRoot w:val="00382B77"/>
    <w:rsid w:val="00173166"/>
    <w:rsid w:val="0025632E"/>
    <w:rsid w:val="00382B77"/>
    <w:rsid w:val="004E196A"/>
    <w:rsid w:val="005052A2"/>
    <w:rsid w:val="0051358B"/>
    <w:rsid w:val="006D29C6"/>
    <w:rsid w:val="006D5A24"/>
    <w:rsid w:val="00704761"/>
    <w:rsid w:val="00785577"/>
    <w:rsid w:val="007B7FBD"/>
    <w:rsid w:val="0083357C"/>
    <w:rsid w:val="00874F07"/>
    <w:rsid w:val="00913771"/>
    <w:rsid w:val="00947212"/>
    <w:rsid w:val="009E4782"/>
    <w:rsid w:val="00A46677"/>
    <w:rsid w:val="00A6104E"/>
    <w:rsid w:val="00B96961"/>
    <w:rsid w:val="00CE6345"/>
    <w:rsid w:val="00E6799E"/>
    <w:rsid w:val="00E949BA"/>
    <w:rsid w:val="00F129FC"/>
    <w:rsid w:val="00F5324D"/>
    <w:rsid w:val="0F7C2CF7"/>
    <w:rsid w:val="25F6222C"/>
    <w:rsid w:val="36AE738B"/>
    <w:rsid w:val="4A930919"/>
    <w:rsid w:val="79207BC9"/>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95351"/>
  <w15:docId w15:val="{F4987D5E-157F-410E-B36E-3058EA74B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Arial MT" w:eastAsia="Arial MT" w:hAnsi="Arial MT" w:cs="Arial MT"/>
      <w:sz w:val="22"/>
      <w:szCs w:val="22"/>
      <w:lang w:val="en-US" w:eastAsia="en-US"/>
    </w:rPr>
  </w:style>
  <w:style w:type="paragraph" w:styleId="Heading1">
    <w:name w:val="heading 1"/>
    <w:basedOn w:val="Normal"/>
    <w:link w:val="Heading1Char"/>
    <w:uiPriority w:val="9"/>
    <w:qFormat/>
    <w:pPr>
      <w:ind w:left="359"/>
      <w:outlineLvl w:val="0"/>
    </w:pPr>
    <w:rPr>
      <w:rFonts w:ascii="Arial" w:eastAsia="Arial" w:hAnsi="Arial" w:cs="Arial"/>
      <w:b/>
      <w:bCs/>
      <w:sz w:val="24"/>
      <w:szCs w:val="24"/>
    </w:rPr>
  </w:style>
  <w:style w:type="paragraph" w:styleId="Heading2">
    <w:name w:val="heading 2"/>
    <w:basedOn w:val="Normal"/>
    <w:uiPriority w:val="9"/>
    <w:unhideWhenUsed/>
    <w:qFormat/>
    <w:pPr>
      <w:spacing w:before="1"/>
      <w:ind w:left="359"/>
      <w:outlineLvl w:val="1"/>
    </w:pPr>
    <w:rPr>
      <w:rFonts w:ascii="Arial" w:eastAsia="Arial" w:hAnsi="Arial" w:cs="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0"/>
      <w:ind w:left="359" w:right="356"/>
      <w:jc w:val="both"/>
    </w:pPr>
    <w:rPr>
      <w:sz w:val="24"/>
      <w:szCs w:val="24"/>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semiHidden/>
    <w:unhideWhenUsed/>
    <w:rPr>
      <w:sz w:val="24"/>
      <w:szCs w:val="24"/>
    </w:rPr>
  </w:style>
  <w:style w:type="paragraph" w:styleId="Title">
    <w:name w:val="Title"/>
    <w:basedOn w:val="Normal"/>
    <w:uiPriority w:val="10"/>
    <w:qFormat/>
    <w:pPr>
      <w:spacing w:before="35"/>
      <w:ind w:right="3"/>
      <w:jc w:val="center"/>
    </w:pPr>
    <w:rPr>
      <w:rFonts w:ascii="Arial" w:eastAsia="Arial" w:hAnsi="Arial" w:cs="Arial"/>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50" w:lineRule="exact"/>
      <w:ind w:left="107"/>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qFormat/>
    <w:rPr>
      <w:rFonts w:ascii="Arial MT" w:eastAsia="Arial MT" w:hAnsi="Arial MT" w:cs="Arial MT"/>
    </w:rPr>
  </w:style>
  <w:style w:type="character" w:customStyle="1" w:styleId="FooterChar">
    <w:name w:val="Footer Char"/>
    <w:basedOn w:val="DefaultParagraphFont"/>
    <w:link w:val="Footer"/>
    <w:uiPriority w:val="99"/>
    <w:rPr>
      <w:rFonts w:ascii="Arial MT" w:eastAsia="Arial MT" w:hAnsi="Arial MT" w:cs="Arial MT"/>
    </w:rPr>
  </w:style>
  <w:style w:type="character" w:customStyle="1" w:styleId="Heading1Char">
    <w:name w:val="Heading 1 Char"/>
    <w:link w:val="Heading1"/>
    <w:rPr>
      <w:rFonts w:ascii="Arial" w:eastAsia="Arial" w:hAnsi="Arial" w:cs="Arial" w:hint="default"/>
      <w:b/>
      <w:bCs/>
      <w:sz w:val="24"/>
      <w:szCs w:val="24"/>
    </w:rPr>
  </w:style>
  <w:style w:type="character" w:customStyle="1" w:styleId="BodyTextChar">
    <w:name w:val="Body Text Char"/>
    <w:link w:val="BodyText"/>
    <w:rPr>
      <w:rFonts w:ascii="Arial MT" w:eastAsia="Arial MT" w:hAnsi="Arial MT" w:cs="Arial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3136</Words>
  <Characters>17877</Characters>
  <Application>Microsoft Office Word</Application>
  <DocSecurity>0</DocSecurity>
  <Lines>148</Lines>
  <Paragraphs>41</Paragraphs>
  <ScaleCrop>false</ScaleCrop>
  <Company/>
  <LinksUpToDate>false</LinksUpToDate>
  <CharactersWithSpaces>20972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 Update on Pathological changes of Canine Demodicosis.docx</dc:title>
  <dc:creator>OS</dc:creator>
  <cp:lastModifiedBy>Rajesh Kumar Maheshwari</cp:lastModifiedBy>
  <cp:revision>25</cp:revision>
  <dcterms:created xsi:type="dcterms:W3CDTF">2026-05-13T17:48:00Z</dcterms:created>
  <dcterms:modified xsi:type="dcterms:W3CDTF">2026-05-18T07:21:00Z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2021-07-20T00:00:00Z</vt:filetime>
  </property>
  <property fmtid="{D5CDD505-2E9C-101B-9397-08002B2CF9AE}" pid="4" name="Creator">
    <vt:lpwstr>PScript5.dll Version 5.2.2</vt:lpwstr>
  </property>
  <property fmtid="{D5CDD505-2E9C-101B-9397-08002B2CF9AE}" pid="5" name="LastSaved">
    <vt:filetime>2026-05-13T00:00:00Z</vt:filetime>
  </property>
  <property fmtid="{D5CDD505-2E9C-101B-9397-08002B2CF9AE}" pid="6" name="Producer">
    <vt:lpwstr>GPL Ghostscript 9.06</vt:lpwstr>
  </property>
  <property fmtid="{D5CDD505-2E9C-101B-9397-08002B2CF9AE}" pid="7" name="KSOTemplateDocerSaveRecord">
    <vt:lpwstr>eyJoZGlkIjoiMWEwYWM0Njc5YWVkNDU0N2EzZjAyNDhlOTZmZjM3OGQifQ==</vt:lpwstr>
  </property>
  <property fmtid="{D5CDD505-2E9C-101B-9397-08002B2CF9AE}" pid="8" name="KSOProductBuildVer">
    <vt:lpwstr>1033-12.1.0.26372</vt:lpwstr>
  </property>
  <property fmtid="{D5CDD505-2E9C-101B-9397-08002B2CF9AE}" pid="9" name="ICV">
    <vt:lpwstr>DEBE4E9264CB4EF486C4925EB01AC300_12</vt:lpwstr>
  </property>
</Properties>
</file>